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74CE1">
        <w:rPr>
          <w:rFonts w:ascii="Tahoma" w:hAnsi="Tahoma" w:cs="Tahoma"/>
          <w:color w:val="000000" w:themeColor="text1"/>
          <w:sz w:val="20"/>
          <w:szCs w:val="20"/>
          <w:lang w:val="pl-PL"/>
        </w:rPr>
        <w:t>10.09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Default="002F0207" w:rsidP="007B18E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335AC4" w:rsidRPr="00335AC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postępowania o zamówienie publiczne na </w:t>
      </w:r>
      <w:r w:rsidR="007B18E8" w:rsidRPr="007B18E8">
        <w:rPr>
          <w:rFonts w:ascii="Tahoma" w:hAnsi="Tahoma" w:cs="Tahoma"/>
          <w:b/>
          <w:color w:val="000000"/>
          <w:sz w:val="20"/>
          <w:szCs w:val="20"/>
          <w:lang w:val="pl-PL"/>
        </w:rPr>
        <w:t>dostawę ambulansu ratunkowego typu B z wyposażeniem dla Powiatowego Szpitala im. Władysława Biegańskiego w Iławie (nr sprawy 23/2019)</w:t>
      </w:r>
    </w:p>
    <w:p w:rsidR="007B18E8" w:rsidRPr="007B18E8" w:rsidRDefault="007B18E8" w:rsidP="007B18E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2F0207" w:rsidRPr="00BA55B0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t.j. Dz.U. z 201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poz 1986</w:t>
      </w: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BA55B0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BA55B0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BA55B0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BA55B0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7B18E8" w:rsidRDefault="007B18E8" w:rsidP="007B18E8">
      <w:pPr>
        <w:suppressAutoHyphens/>
        <w:spacing w:line="240" w:lineRule="atLeast"/>
        <w:jc w:val="both"/>
        <w:rPr>
          <w:bCs/>
        </w:rPr>
      </w:pPr>
      <w:r>
        <w:rPr>
          <w:bCs/>
        </w:rPr>
        <w:t>Czy Zamawiający dopuści do postępowania na zasadzie równoważności nowoczesny defibrylator Zoll XSeries, posiadający następujące tryby pracy: defibrylacja, stymulacja, monitorowanie 12 odprowadzeń EKG z zapewnieniem możliwości bezkosztowej transmisji badań EKG i innych danych medycznych oraz ich odbioru w powszechnie używanym w Polsce systemie teletransmisji, we wskazanych przez Zmawiającego placówkach hemodynamiki. Defibrylator o następujących parametrach technicznych:</w:t>
      </w:r>
    </w:p>
    <w:p w:rsidR="007B18E8" w:rsidRDefault="007B18E8" w:rsidP="007B18E8">
      <w:pPr>
        <w:suppressAutoHyphens/>
        <w:spacing w:line="240" w:lineRule="atLeast"/>
        <w:jc w:val="both"/>
        <w:rPr>
          <w:bCs/>
        </w:rPr>
      </w:pPr>
    </w:p>
    <w:p w:rsidR="007B18E8" w:rsidRDefault="007B18E8" w:rsidP="007B18E8">
      <w:pPr>
        <w:suppressAutoHyphens/>
        <w:spacing w:line="240" w:lineRule="atLeast"/>
        <w:jc w:val="both"/>
        <w:rPr>
          <w:bCs/>
        </w:rPr>
      </w:pPr>
    </w:p>
    <w:tbl>
      <w:tblPr>
        <w:tblW w:w="7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110"/>
      </w:tblGrid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Zasilanie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Sieciowe + akumulatorowe (bateryjne)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Czas pracy z baterii(akumulatora) przy monitorowaniu – min. 6 h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Ilość defibrylacji z energią 200J przy pracy na baterii – min. 100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Możliwość ładowania baterii (akumulatora) z AC 230V 50/60Hz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Funkcje (cechy)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Urządzenie przenośne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Ciężar kpl urządzenia – max 10 kg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Monitorowanie funkcji życiowych: EKG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tabs>
                <w:tab w:val="left" w:pos="725"/>
              </w:tabs>
              <w:suppressAutoHyphens/>
              <w:autoSpaceDE w:val="0"/>
              <w:snapToGrid w:val="0"/>
              <w:ind w:left="169" w:right="24"/>
              <w:rPr>
                <w:lang w:eastAsia="ar-SA"/>
              </w:rPr>
            </w:pPr>
            <w:r>
              <w:t xml:space="preserve">Ilość kanałów EKG – max. 12 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tabs>
                <w:tab w:val="left" w:pos="725"/>
              </w:tabs>
              <w:suppressAutoHyphens/>
              <w:autoSpaceDE w:val="0"/>
              <w:snapToGrid w:val="0"/>
              <w:ind w:left="169" w:right="24"/>
              <w:rPr>
                <w:lang w:eastAsia="ar-SA"/>
              </w:rPr>
            </w:pPr>
            <w:r>
              <w:t>Interpretacja i analiza przebiegu EKG w zależności od wieku pacjenta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tabs>
                <w:tab w:val="left" w:pos="725"/>
              </w:tabs>
              <w:suppressAutoHyphens/>
              <w:autoSpaceDE w:val="0"/>
              <w:snapToGrid w:val="0"/>
              <w:ind w:left="169" w:right="24"/>
              <w:rPr>
                <w:lang w:eastAsia="ar-SA"/>
              </w:rPr>
            </w:pPr>
            <w:r>
              <w:t>Pomiar uniesienia odcinka S-T w mm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Defibrylacja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Elektrody defibrylująco-stymulująco-monitorujące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Defibrylacja ręczna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Defibrylacja półautomatyczna AED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Zakres dostarczania energii: 1 – 200 J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Ilość poziomów energetycznych dla defibrylacji zewnętrznej: 20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Dwufazowa fala defibrylacja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Kardiowersja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Stymulacja przezskórna serca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Tryb stymulacji - na żądanie i asynchroniczny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Zakres regulacji częstotliwości impulsów stymulujących: 30 – 180/min.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Zakres regulacji amplitudy impulsów stymulujących: 0 – 140 mA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 xml:space="preserve">Elektrody jednorazowego użytku do defibrylacji i stymulacji przezskórnej min. 2 kpl. 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Ekran 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vertAlign w:val="superscript"/>
                <w:lang w:eastAsia="ar-SA"/>
              </w:rPr>
            </w:pPr>
            <w:r>
              <w:t>Kolorowy o przekątnej ekranu 6,5</w:t>
            </w:r>
            <w:r>
              <w:rPr>
                <w:vertAlign w:val="superscript"/>
                <w:lang w:eastAsia="ar-SA"/>
              </w:rPr>
              <w:fldChar w:fldCharType="begin"/>
            </w:r>
            <w:r>
              <w:rPr>
                <w:vertAlign w:val="superscript"/>
                <w:lang w:eastAsia="ar-SA"/>
              </w:rPr>
              <w:instrText xml:space="preserve"> QUOTE </w:instrText>
            </w:r>
            <w:r>
              <w:rPr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5pt" equationxml="&lt;">
                  <v:imagedata r:id="rId8" o:title="" chromakey="white"/>
                </v:shape>
              </w:pict>
            </w:r>
            <w:r>
              <w:rPr>
                <w:vertAlign w:val="superscript"/>
                <w:lang w:eastAsia="ar-SA"/>
              </w:rPr>
              <w:instrText xml:space="preserve"> </w:instrText>
            </w:r>
            <w:r>
              <w:rPr>
                <w:vertAlign w:val="superscript"/>
                <w:lang w:eastAsia="ar-SA"/>
              </w:rPr>
              <w:fldChar w:fldCharType="separate"/>
            </w:r>
            <w:r>
              <w:rPr>
                <w:position w:val="-9"/>
              </w:rPr>
              <w:pict>
                <v:shape id="_x0000_i1026" type="#_x0000_t75" style="width:4.5pt;height:15pt" equationxml="&lt;">
                  <v:imagedata r:id="rId8" o:title="" chromakey="white"/>
                </v:shape>
              </w:pict>
            </w:r>
            <w:r>
              <w:rPr>
                <w:vertAlign w:val="superscript"/>
                <w:lang w:eastAsia="ar-SA"/>
              </w:rPr>
              <w:fldChar w:fldCharType="end"/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22.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Funkcja obserwacji przy dużej ekspozycji słonecznej.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Możliwość jednoczesnej obserwacji 3 krzywych dynamicznych.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Alarmy 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Alarmy wszystkich monitorowanych funkcji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Drukarka 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Szerokość papieru: 80 mm.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Ilość kanałów jednocześnie drukowanych: 3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Przesuw papieru: 2 prędkości (25 i 50 mm/sek)</w:t>
            </w:r>
          </w:p>
        </w:tc>
      </w:tr>
      <w:tr w:rsidR="007B18E8" w:rsidTr="007B18E8">
        <w:trPr>
          <w:trHeight w:val="2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Inne wymagania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tabs>
                <w:tab w:val="left" w:pos="720"/>
                <w:tab w:val="left" w:pos="1364"/>
              </w:tabs>
              <w:suppressAutoHyphens/>
              <w:ind w:left="169"/>
              <w:rPr>
                <w:lang w:eastAsia="ar-SA"/>
              </w:rPr>
            </w:pPr>
            <w:r>
              <w:t>Możliwość archiwizacji przebiegu pracy urządzenia, stanu pacjenta, odcinków krzywej EKG, wykonanych czynności i wydarzeń w pamięci oraz wydruk tych informacji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Możliwość transmitowania badań EKG i innych danych medycznych z defibrylatora do stacji odbiorczych pracujących w systemie Medgate powszechnie używanych w Polsce.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tabs>
                <w:tab w:val="left" w:pos="720"/>
                <w:tab w:val="left" w:pos="1364"/>
              </w:tabs>
              <w:suppressAutoHyphens/>
              <w:ind w:left="169"/>
              <w:rPr>
                <w:lang w:eastAsia="ar-SA"/>
              </w:rPr>
            </w:pPr>
            <w:r>
              <w:t>Bezpłatny dostęp do serwera przy transmisji danych.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Odporny na wstrząsy (upadki) i drgania.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rPr>
                <w:lang w:eastAsia="ar-SA"/>
              </w:rPr>
            </w:pPr>
            <w:r>
              <w:t xml:space="preserve">   Odporność na wilgoć IP55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33.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Certyfikowany uchwyt do montażu w karetce.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Instrukcja obsługi w języku polskim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Deklaracja zgodności</w:t>
            </w:r>
          </w:p>
        </w:tc>
      </w:tr>
      <w:tr w:rsidR="007B18E8" w:rsidTr="007B18E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E8" w:rsidRDefault="007B18E8" w:rsidP="007B18E8">
            <w:pPr>
              <w:suppressAutoHyphens/>
              <w:snapToGrid w:val="0"/>
              <w:ind w:left="169"/>
              <w:rPr>
                <w:lang w:eastAsia="ar-SA"/>
              </w:rPr>
            </w:pPr>
            <w:r>
              <w:t>Certyfikat CE</w:t>
            </w:r>
          </w:p>
        </w:tc>
      </w:tr>
    </w:tbl>
    <w:p w:rsidR="007B18E8" w:rsidRDefault="007B18E8" w:rsidP="00335AC4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DE36BF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SIWZ.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2</w:t>
      </w:r>
    </w:p>
    <w:p w:rsidR="00335AC4" w:rsidRPr="00BA55B0" w:rsidRDefault="00335AC4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1.Dotyczy eksploatacji: prosimy Zamawiając</w:t>
      </w:r>
      <w:r>
        <w:rPr>
          <w:rFonts w:ascii="Tahoma" w:hAnsi="Tahoma" w:cs="Tahoma"/>
          <w:bCs/>
          <w:sz w:val="20"/>
          <w:szCs w:val="20"/>
        </w:rPr>
        <w:t xml:space="preserve">ego o określenie czy przeglądy </w:t>
      </w:r>
      <w:r w:rsidRPr="007B18E8">
        <w:rPr>
          <w:rFonts w:ascii="Tahoma" w:hAnsi="Tahoma" w:cs="Tahoma"/>
          <w:bCs/>
          <w:sz w:val="20"/>
          <w:szCs w:val="20"/>
        </w:rPr>
        <w:t>okresowe samochodu bazowego dotyczą</w:t>
      </w:r>
      <w:r>
        <w:rPr>
          <w:rFonts w:ascii="Tahoma" w:hAnsi="Tahoma" w:cs="Tahoma"/>
          <w:bCs/>
          <w:sz w:val="20"/>
          <w:szCs w:val="20"/>
        </w:rPr>
        <w:t xml:space="preserve">ce np. wymianu oleju, klocków, </w:t>
      </w:r>
      <w:r w:rsidRPr="007B18E8">
        <w:rPr>
          <w:rFonts w:ascii="Tahoma" w:hAnsi="Tahoma" w:cs="Tahoma"/>
          <w:bCs/>
          <w:sz w:val="20"/>
          <w:szCs w:val="20"/>
        </w:rPr>
        <w:t>filtrów, itd. w okresie gwarancji mają być</w:t>
      </w:r>
      <w:r>
        <w:rPr>
          <w:rFonts w:ascii="Tahoma" w:hAnsi="Tahoma" w:cs="Tahoma"/>
          <w:bCs/>
          <w:sz w:val="20"/>
          <w:szCs w:val="20"/>
        </w:rPr>
        <w:t xml:space="preserve"> wliczone w cenę oferty – tzw. </w:t>
      </w:r>
      <w:r w:rsidRPr="007B18E8">
        <w:rPr>
          <w:rFonts w:ascii="Tahoma" w:hAnsi="Tahoma" w:cs="Tahoma"/>
          <w:bCs/>
          <w:sz w:val="20"/>
          <w:szCs w:val="20"/>
        </w:rPr>
        <w:t xml:space="preserve">oryginalny pakiet serwisowy danego producenta (to może podnieść jej 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koszt o ok 10 tys.), czy wykonawca ma nie wlic</w:t>
      </w:r>
      <w:r>
        <w:rPr>
          <w:rFonts w:ascii="Tahoma" w:hAnsi="Tahoma" w:cs="Tahoma"/>
          <w:bCs/>
          <w:sz w:val="20"/>
          <w:szCs w:val="20"/>
        </w:rPr>
        <w:t xml:space="preserve">zać ich w cenę oferty i  </w:t>
      </w:r>
      <w:r w:rsidRPr="007B18E8">
        <w:rPr>
          <w:rFonts w:ascii="Tahoma" w:hAnsi="Tahoma" w:cs="Tahoma"/>
          <w:bCs/>
          <w:sz w:val="20"/>
          <w:szCs w:val="20"/>
        </w:rPr>
        <w:t>Zamawiający każdorazowo podczas wizy</w:t>
      </w:r>
      <w:r>
        <w:rPr>
          <w:rFonts w:ascii="Tahoma" w:hAnsi="Tahoma" w:cs="Tahoma"/>
          <w:bCs/>
          <w:sz w:val="20"/>
          <w:szCs w:val="20"/>
        </w:rPr>
        <w:t xml:space="preserve">ty w ASO będzie za nie płacił. </w:t>
      </w:r>
      <w:r w:rsidRPr="007B18E8">
        <w:rPr>
          <w:rFonts w:ascii="Tahoma" w:hAnsi="Tahoma" w:cs="Tahoma"/>
          <w:bCs/>
          <w:sz w:val="20"/>
          <w:szCs w:val="20"/>
        </w:rPr>
        <w:t>Wykonawca podkreśla, że nie chodzi o gwara</w:t>
      </w:r>
      <w:r>
        <w:rPr>
          <w:rFonts w:ascii="Tahoma" w:hAnsi="Tahoma" w:cs="Tahoma"/>
          <w:bCs/>
          <w:sz w:val="20"/>
          <w:szCs w:val="20"/>
        </w:rPr>
        <w:t xml:space="preserve">ncję, która jest bezpłatna ale </w:t>
      </w:r>
      <w:r w:rsidRPr="007B18E8">
        <w:rPr>
          <w:rFonts w:ascii="Tahoma" w:hAnsi="Tahoma" w:cs="Tahoma"/>
          <w:bCs/>
          <w:sz w:val="20"/>
          <w:szCs w:val="20"/>
        </w:rPr>
        <w:t>o standardowe przeglądy które są niezbędne w celu jej utrzymania.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Nie- jest to o stronie Zamawiającego.</w:t>
      </w:r>
    </w:p>
    <w:p w:rsidR="00E73039" w:rsidRPr="007B18E8" w:rsidRDefault="00E73039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lastRenderedPageBreak/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 xml:space="preserve">2.Dotyczy eksploatacji: prosimy Zamawiającego o określenie czy przeglądy okresowe zabudowy medycznej, mają </w:t>
      </w:r>
      <w:r>
        <w:rPr>
          <w:rFonts w:ascii="Tahoma" w:hAnsi="Tahoma" w:cs="Tahoma"/>
          <w:bCs/>
          <w:sz w:val="20"/>
          <w:szCs w:val="20"/>
        </w:rPr>
        <w:t xml:space="preserve">być wliczone w cenę oferty czy </w:t>
      </w:r>
      <w:r w:rsidRPr="007B18E8">
        <w:rPr>
          <w:rFonts w:ascii="Tahoma" w:hAnsi="Tahoma" w:cs="Tahoma"/>
          <w:bCs/>
          <w:sz w:val="20"/>
          <w:szCs w:val="20"/>
        </w:rPr>
        <w:t>wykonawca ma nie wliczać ich w cenę of</w:t>
      </w:r>
      <w:r>
        <w:rPr>
          <w:rFonts w:ascii="Tahoma" w:hAnsi="Tahoma" w:cs="Tahoma"/>
          <w:bCs/>
          <w:sz w:val="20"/>
          <w:szCs w:val="20"/>
        </w:rPr>
        <w:t xml:space="preserve">erty i Zamawiający każdorazowo </w:t>
      </w:r>
      <w:r w:rsidRPr="007B18E8">
        <w:rPr>
          <w:rFonts w:ascii="Tahoma" w:hAnsi="Tahoma" w:cs="Tahoma"/>
          <w:bCs/>
          <w:sz w:val="20"/>
          <w:szCs w:val="20"/>
        </w:rPr>
        <w:t xml:space="preserve">podczas wizyty serwisu będzie za nie płacił. Wykonawca podkreśla, że nie 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chodzi o gwarancję, która jest bezpłat</w:t>
      </w:r>
      <w:r>
        <w:rPr>
          <w:rFonts w:ascii="Tahoma" w:hAnsi="Tahoma" w:cs="Tahoma"/>
          <w:bCs/>
          <w:sz w:val="20"/>
          <w:szCs w:val="20"/>
        </w:rPr>
        <w:t xml:space="preserve">na ale o standardowe przeglądy </w:t>
      </w:r>
      <w:r w:rsidRPr="007B18E8">
        <w:rPr>
          <w:rFonts w:ascii="Tahoma" w:hAnsi="Tahoma" w:cs="Tahoma"/>
          <w:bCs/>
          <w:sz w:val="20"/>
          <w:szCs w:val="20"/>
        </w:rPr>
        <w:t>które są niezbędne w celu jej utrzymania.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Nie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 - jest to o stronie Zamawiającego.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3.Dotyczy eksploatacji: prosimy Zamawiając</w:t>
      </w:r>
      <w:r>
        <w:rPr>
          <w:rFonts w:ascii="Tahoma" w:hAnsi="Tahoma" w:cs="Tahoma"/>
          <w:bCs/>
          <w:sz w:val="20"/>
          <w:szCs w:val="20"/>
        </w:rPr>
        <w:t xml:space="preserve">ego o określenie czy przeglądy </w:t>
      </w:r>
      <w:r w:rsidRPr="007B18E8">
        <w:rPr>
          <w:rFonts w:ascii="Tahoma" w:hAnsi="Tahoma" w:cs="Tahoma"/>
          <w:bCs/>
          <w:sz w:val="20"/>
          <w:szCs w:val="20"/>
        </w:rPr>
        <w:t>okresowe sprzętu medycznego, mają być wliczone w cenę oferty cz</w:t>
      </w:r>
      <w:r>
        <w:rPr>
          <w:rFonts w:ascii="Tahoma" w:hAnsi="Tahoma" w:cs="Tahoma"/>
          <w:bCs/>
          <w:sz w:val="20"/>
          <w:szCs w:val="20"/>
        </w:rPr>
        <w:t xml:space="preserve">y </w:t>
      </w:r>
      <w:r w:rsidRPr="007B18E8">
        <w:rPr>
          <w:rFonts w:ascii="Tahoma" w:hAnsi="Tahoma" w:cs="Tahoma"/>
          <w:bCs/>
          <w:sz w:val="20"/>
          <w:szCs w:val="20"/>
        </w:rPr>
        <w:t>wykonawca ma nie wliczać ich w cenę of</w:t>
      </w:r>
      <w:r>
        <w:rPr>
          <w:rFonts w:ascii="Tahoma" w:hAnsi="Tahoma" w:cs="Tahoma"/>
          <w:bCs/>
          <w:sz w:val="20"/>
          <w:szCs w:val="20"/>
        </w:rPr>
        <w:t xml:space="preserve">erty i Zamawiający każdorazowo </w:t>
      </w:r>
      <w:r w:rsidRPr="007B18E8">
        <w:rPr>
          <w:rFonts w:ascii="Tahoma" w:hAnsi="Tahoma" w:cs="Tahoma"/>
          <w:bCs/>
          <w:sz w:val="20"/>
          <w:szCs w:val="20"/>
        </w:rPr>
        <w:t xml:space="preserve">podczas wizyty serwisu będzie za nie płacił. Wykonawca podkreśla, że nie 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chodzi o gwarancję, która jest bezpłat</w:t>
      </w:r>
      <w:r w:rsidR="00E73039">
        <w:rPr>
          <w:rFonts w:ascii="Tahoma" w:hAnsi="Tahoma" w:cs="Tahoma"/>
          <w:bCs/>
          <w:sz w:val="20"/>
          <w:szCs w:val="20"/>
        </w:rPr>
        <w:t xml:space="preserve">na ale o standardowe przeglądy </w:t>
      </w:r>
      <w:r w:rsidRPr="007B18E8">
        <w:rPr>
          <w:rFonts w:ascii="Tahoma" w:hAnsi="Tahoma" w:cs="Tahoma"/>
          <w:bCs/>
          <w:sz w:val="20"/>
          <w:szCs w:val="20"/>
        </w:rPr>
        <w:t>które są niezbędne w celu jej utrzymania.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Nie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 - jest to o stronie Zamawiającego.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 xml:space="preserve">4.Czy Zamawiający dopuszcza realizację </w:t>
      </w:r>
      <w:r w:rsidR="00E73039">
        <w:rPr>
          <w:rFonts w:ascii="Tahoma" w:hAnsi="Tahoma" w:cs="Tahoma"/>
          <w:bCs/>
          <w:sz w:val="20"/>
          <w:szCs w:val="20"/>
        </w:rPr>
        <w:t xml:space="preserve">zamówienia do 90 dni roboczych </w:t>
      </w:r>
      <w:r w:rsidRPr="007B18E8">
        <w:rPr>
          <w:rFonts w:ascii="Tahoma" w:hAnsi="Tahoma" w:cs="Tahoma"/>
          <w:bCs/>
          <w:sz w:val="20"/>
          <w:szCs w:val="20"/>
        </w:rPr>
        <w:t xml:space="preserve">licząc od dnia podpisania umowy pod warunkiem </w:t>
      </w:r>
      <w:r w:rsidR="00E73039">
        <w:rPr>
          <w:rFonts w:ascii="Tahoma" w:hAnsi="Tahoma" w:cs="Tahoma"/>
          <w:bCs/>
          <w:sz w:val="20"/>
          <w:szCs w:val="20"/>
        </w:rPr>
        <w:t xml:space="preserve">iż dokumenty do </w:t>
      </w:r>
      <w:r w:rsidRPr="007B18E8">
        <w:rPr>
          <w:rFonts w:ascii="Tahoma" w:hAnsi="Tahoma" w:cs="Tahoma"/>
          <w:bCs/>
          <w:sz w:val="20"/>
          <w:szCs w:val="20"/>
        </w:rPr>
        <w:t>rejestracji ambulansu (ambulansów) tj. fa</w:t>
      </w:r>
      <w:r w:rsidR="00E73039">
        <w:rPr>
          <w:rFonts w:ascii="Tahoma" w:hAnsi="Tahoma" w:cs="Tahoma"/>
          <w:bCs/>
          <w:sz w:val="20"/>
          <w:szCs w:val="20"/>
        </w:rPr>
        <w:t xml:space="preserve">ktura, świadectwo homologacji, </w:t>
      </w:r>
      <w:r w:rsidRPr="007B18E8">
        <w:rPr>
          <w:rFonts w:ascii="Tahoma" w:hAnsi="Tahoma" w:cs="Tahoma"/>
          <w:bCs/>
          <w:sz w:val="20"/>
          <w:szCs w:val="20"/>
        </w:rPr>
        <w:t>karta pojazdu itd. zostaną dosta</w:t>
      </w:r>
      <w:r w:rsidR="00E73039">
        <w:rPr>
          <w:rFonts w:ascii="Tahoma" w:hAnsi="Tahoma" w:cs="Tahoma"/>
          <w:bCs/>
          <w:sz w:val="20"/>
          <w:szCs w:val="20"/>
        </w:rPr>
        <w:t xml:space="preserve">rczone w oryginale do siedziby </w:t>
      </w:r>
      <w:r w:rsidRPr="007B18E8">
        <w:rPr>
          <w:rFonts w:ascii="Tahoma" w:hAnsi="Tahoma" w:cs="Tahoma"/>
          <w:bCs/>
          <w:sz w:val="20"/>
          <w:szCs w:val="20"/>
        </w:rPr>
        <w:t>Zamawiającego nie później niż do 09 grud</w:t>
      </w:r>
      <w:r w:rsidR="00E73039">
        <w:rPr>
          <w:rFonts w:ascii="Tahoma" w:hAnsi="Tahoma" w:cs="Tahoma"/>
          <w:bCs/>
          <w:sz w:val="20"/>
          <w:szCs w:val="20"/>
        </w:rPr>
        <w:t xml:space="preserve">nia 2019 przy założeniu iż nie </w:t>
      </w:r>
      <w:r w:rsidRPr="007B18E8">
        <w:rPr>
          <w:rFonts w:ascii="Tahoma" w:hAnsi="Tahoma" w:cs="Tahoma"/>
          <w:bCs/>
          <w:sz w:val="20"/>
          <w:szCs w:val="20"/>
        </w:rPr>
        <w:t>dostarczenie ww. dokumentów w określ</w:t>
      </w:r>
      <w:r w:rsidR="00E73039">
        <w:rPr>
          <w:rFonts w:ascii="Tahoma" w:hAnsi="Tahoma" w:cs="Tahoma"/>
          <w:bCs/>
          <w:sz w:val="20"/>
          <w:szCs w:val="20"/>
        </w:rPr>
        <w:t xml:space="preserve">onym terminie skutkować będzie </w:t>
      </w:r>
      <w:r w:rsidRPr="007B18E8">
        <w:rPr>
          <w:rFonts w:ascii="Tahoma" w:hAnsi="Tahoma" w:cs="Tahoma"/>
          <w:bCs/>
          <w:sz w:val="20"/>
          <w:szCs w:val="20"/>
        </w:rPr>
        <w:t>rozwiązaniem umowy z przyczyn leżących po stronie Wykonawcy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:Nie.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5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5.Prosimy o podanie szacunkowego rocznego przebiegu ambulansu.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Szacunkowo ok. 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40.000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km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6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 xml:space="preserve">6.Prosimy o potwierdzenie, iż Wykonawca ma dostarczyć ambulanse na </w:t>
      </w:r>
      <w:r w:rsidR="00E73039">
        <w:rPr>
          <w:rFonts w:ascii="Tahoma" w:hAnsi="Tahoma" w:cs="Tahoma"/>
          <w:bCs/>
          <w:sz w:val="20"/>
          <w:szCs w:val="20"/>
        </w:rPr>
        <w:t xml:space="preserve">swój </w:t>
      </w:r>
      <w:r w:rsidRPr="007B18E8">
        <w:rPr>
          <w:rFonts w:ascii="Tahoma" w:hAnsi="Tahoma" w:cs="Tahoma"/>
          <w:bCs/>
          <w:sz w:val="20"/>
          <w:szCs w:val="20"/>
        </w:rPr>
        <w:t>koszt do siedziby Zamawiającego. Natomias</w:t>
      </w:r>
      <w:r w:rsidR="00E73039">
        <w:rPr>
          <w:rFonts w:ascii="Tahoma" w:hAnsi="Tahoma" w:cs="Tahoma"/>
          <w:bCs/>
          <w:sz w:val="20"/>
          <w:szCs w:val="20"/>
        </w:rPr>
        <w:t xml:space="preserve">t sposób dostawy czy na kołach </w:t>
      </w:r>
      <w:r w:rsidRPr="007B18E8">
        <w:rPr>
          <w:rFonts w:ascii="Tahoma" w:hAnsi="Tahoma" w:cs="Tahoma"/>
          <w:bCs/>
          <w:sz w:val="20"/>
          <w:szCs w:val="20"/>
        </w:rPr>
        <w:t>czy na lawecie jest do wyboru poprzez Wykonawcę.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Do siedziby Zamawiającego, może być n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a kołach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lub lawecie zgodnie z wyborem Wykonawcy.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7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7.Dotyczy opisu przedmiotu zamówienia pkt.</w:t>
      </w:r>
      <w:r w:rsidR="00E73039">
        <w:rPr>
          <w:rFonts w:ascii="Tahoma" w:hAnsi="Tahoma" w:cs="Tahoma"/>
          <w:bCs/>
          <w:sz w:val="20"/>
          <w:szCs w:val="20"/>
        </w:rPr>
        <w:t xml:space="preserve"> 3.12 – czy Zamawiający wymaga </w:t>
      </w:r>
      <w:r w:rsidRPr="007B18E8">
        <w:rPr>
          <w:rFonts w:ascii="Tahoma" w:hAnsi="Tahoma" w:cs="Tahoma"/>
          <w:bCs/>
          <w:sz w:val="20"/>
          <w:szCs w:val="20"/>
        </w:rPr>
        <w:t>jednego gniazda USB i jednego 12V w sumi</w:t>
      </w:r>
      <w:r w:rsidR="00E73039">
        <w:rPr>
          <w:rFonts w:ascii="Tahoma" w:hAnsi="Tahoma" w:cs="Tahoma"/>
          <w:bCs/>
          <w:sz w:val="20"/>
          <w:szCs w:val="20"/>
        </w:rPr>
        <w:t xml:space="preserve">e dwóch, czy po dwa gniazda </w:t>
      </w:r>
      <w:r w:rsidRPr="007B18E8">
        <w:rPr>
          <w:rFonts w:ascii="Tahoma" w:hAnsi="Tahoma" w:cs="Tahoma"/>
          <w:bCs/>
          <w:sz w:val="20"/>
          <w:szCs w:val="20"/>
        </w:rPr>
        <w:t>każdego rodzaju?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Po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jednym gnieździe każdego rodzaju- w sumie dwa.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8.Dotyczy opisu przedmiotu zamówienia pkt</w:t>
      </w:r>
      <w:r w:rsidR="00E73039">
        <w:rPr>
          <w:rFonts w:ascii="Tahoma" w:hAnsi="Tahoma" w:cs="Tahoma"/>
          <w:bCs/>
          <w:sz w:val="20"/>
          <w:szCs w:val="20"/>
        </w:rPr>
        <w:t xml:space="preserve">. 8 – prosimy o potwierdzenie, iż Zamawiający nie </w:t>
      </w:r>
      <w:r w:rsidRPr="007B18E8">
        <w:rPr>
          <w:rFonts w:ascii="Tahoma" w:hAnsi="Tahoma" w:cs="Tahoma"/>
          <w:bCs/>
          <w:sz w:val="20"/>
          <w:szCs w:val="20"/>
        </w:rPr>
        <w:t>wymaga butlitlenowych oraz reduktorów.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Zamawiający wymaga r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eduktory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, butli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nie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 wymaga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9.Dotyczy opisu przedmiotu zamówienia pkt. 9.1 – pr</w:t>
      </w:r>
      <w:r w:rsidR="00E73039">
        <w:rPr>
          <w:rFonts w:ascii="Tahoma" w:hAnsi="Tahoma" w:cs="Tahoma"/>
          <w:bCs/>
          <w:sz w:val="20"/>
          <w:szCs w:val="20"/>
        </w:rPr>
        <w:t xml:space="preserve">osimy o podanie marki </w:t>
      </w:r>
      <w:r w:rsidRPr="007B18E8">
        <w:rPr>
          <w:rFonts w:ascii="Tahoma" w:hAnsi="Tahoma" w:cs="Tahoma"/>
          <w:bCs/>
          <w:sz w:val="20"/>
          <w:szCs w:val="20"/>
        </w:rPr>
        <w:t>i modelu radiotelefonu jaki będzie użytko</w:t>
      </w:r>
      <w:r w:rsidR="00E73039">
        <w:rPr>
          <w:rFonts w:ascii="Tahoma" w:hAnsi="Tahoma" w:cs="Tahoma"/>
          <w:bCs/>
          <w:sz w:val="20"/>
          <w:szCs w:val="20"/>
        </w:rPr>
        <w:t xml:space="preserve">wany w ambulansie abyśmy mogli </w:t>
      </w:r>
      <w:r w:rsidRPr="007B18E8">
        <w:rPr>
          <w:rFonts w:ascii="Tahoma" w:hAnsi="Tahoma" w:cs="Tahoma"/>
          <w:bCs/>
          <w:sz w:val="20"/>
          <w:szCs w:val="20"/>
        </w:rPr>
        <w:t>zamontować odpowiedni uchwyt.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radiotelefonów marki 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Motorola.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10.Dotyczy opisu przedmiotu zam</w:t>
      </w:r>
      <w:r w:rsidR="00E73039">
        <w:rPr>
          <w:rFonts w:ascii="Tahoma" w:hAnsi="Tahoma" w:cs="Tahoma"/>
          <w:bCs/>
          <w:sz w:val="20"/>
          <w:szCs w:val="20"/>
        </w:rPr>
        <w:t xml:space="preserve">ówienia – pkt. 9.3 – prosimy o </w:t>
      </w:r>
      <w:r w:rsidRPr="007B18E8">
        <w:rPr>
          <w:rFonts w:ascii="Tahoma" w:hAnsi="Tahoma" w:cs="Tahoma"/>
          <w:bCs/>
          <w:sz w:val="20"/>
          <w:szCs w:val="20"/>
        </w:rPr>
        <w:t>potwierdzenie, iż tablet, moduł gps, drukarka są po stronie Zamawiającego.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</w:p>
    <w:p w:rsidR="00E73039" w:rsidRDefault="00E73039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11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11.Dotyczy opisu przedmiotu zamówienia – p</w:t>
      </w:r>
      <w:r w:rsidR="00E73039">
        <w:rPr>
          <w:rFonts w:ascii="Tahoma" w:hAnsi="Tahoma" w:cs="Tahoma"/>
          <w:bCs/>
          <w:sz w:val="20"/>
          <w:szCs w:val="20"/>
        </w:rPr>
        <w:t xml:space="preserve">kt. 9.3 – stacja dokująca jest </w:t>
      </w:r>
      <w:r w:rsidRPr="007B18E8">
        <w:rPr>
          <w:rFonts w:ascii="Tahoma" w:hAnsi="Tahoma" w:cs="Tahoma"/>
          <w:bCs/>
          <w:sz w:val="20"/>
          <w:szCs w:val="20"/>
        </w:rPr>
        <w:t>po stronie Zamawiającego, czy Wyko</w:t>
      </w:r>
      <w:r w:rsidR="00E73039">
        <w:rPr>
          <w:rFonts w:ascii="Tahoma" w:hAnsi="Tahoma" w:cs="Tahoma"/>
          <w:bCs/>
          <w:sz w:val="20"/>
          <w:szCs w:val="20"/>
        </w:rPr>
        <w:t xml:space="preserve">nawca ma dostarczyć ambulans z </w:t>
      </w:r>
      <w:r w:rsidRPr="007B18E8">
        <w:rPr>
          <w:rFonts w:ascii="Tahoma" w:hAnsi="Tahoma" w:cs="Tahoma"/>
          <w:bCs/>
          <w:sz w:val="20"/>
          <w:szCs w:val="20"/>
        </w:rPr>
        <w:t>zamontowaną stacją dokującą.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Stację dokującą dostarczy zamawiający, montaż po stron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ie W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ykonawcy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7B18E8" w:rsidRDefault="007B18E8" w:rsidP="007B18E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12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 xml:space="preserve">12.Dotyczy opisu przedmiotu zamówienia – pkt. 9.3 – prosimy o podanie </w:t>
      </w: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7B18E8">
        <w:rPr>
          <w:rFonts w:ascii="Tahoma" w:hAnsi="Tahoma" w:cs="Tahoma"/>
          <w:bCs/>
          <w:sz w:val="20"/>
          <w:szCs w:val="20"/>
        </w:rPr>
        <w:t>marki i modelu drukarki jaka będzie użytkowana w tym ambulansie.</w:t>
      </w:r>
    </w:p>
    <w:p w:rsidR="00B74CE1" w:rsidRPr="006C5612" w:rsidRDefault="00E73039" w:rsidP="00B74CE1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 w:rsidRP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Stację dokującą dostarczy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zamawiający, montaż po stronie W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ykonawcy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B18E8" w:rsidRPr="007B18E8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5F1FC9" w:rsidRDefault="007B18E8" w:rsidP="007B18E8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5F1FC9">
        <w:rPr>
          <w:rFonts w:ascii="Tahoma" w:hAnsi="Tahoma" w:cs="Tahoma"/>
          <w:b/>
          <w:bCs/>
          <w:color w:val="auto"/>
          <w:sz w:val="20"/>
          <w:szCs w:val="20"/>
        </w:rPr>
        <w:t>Pytanie nr 13</w:t>
      </w:r>
    </w:p>
    <w:p w:rsidR="007B18E8" w:rsidRPr="005F1FC9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5F1FC9">
        <w:rPr>
          <w:rFonts w:ascii="Tahoma" w:hAnsi="Tahoma" w:cs="Tahoma"/>
          <w:bCs/>
          <w:sz w:val="20"/>
          <w:szCs w:val="20"/>
        </w:rPr>
        <w:t xml:space="preserve">13.Dotyczy opisu przedmiotu zamówienia </w:t>
      </w:r>
      <w:r w:rsidR="00E73039" w:rsidRPr="005F1FC9">
        <w:rPr>
          <w:rFonts w:ascii="Tahoma" w:hAnsi="Tahoma" w:cs="Tahoma"/>
          <w:bCs/>
          <w:sz w:val="20"/>
          <w:szCs w:val="20"/>
        </w:rPr>
        <w:t xml:space="preserve">– pkt. 9.3 – prosimy o podanie </w:t>
      </w:r>
      <w:r w:rsidRPr="005F1FC9">
        <w:rPr>
          <w:rFonts w:ascii="Tahoma" w:hAnsi="Tahoma" w:cs="Tahoma"/>
          <w:bCs/>
          <w:sz w:val="20"/>
          <w:szCs w:val="20"/>
        </w:rPr>
        <w:t>marki i modelu tabletu jaki będzie użytkowana w tym ambulansie.</w:t>
      </w:r>
    </w:p>
    <w:p w:rsidR="00E73039" w:rsidRPr="005F1FC9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F1FC9">
        <w:rPr>
          <w:rFonts w:ascii="Tahoma" w:hAnsi="Tahoma" w:cs="Tahoma"/>
          <w:b/>
          <w:sz w:val="20"/>
          <w:szCs w:val="20"/>
        </w:rPr>
        <w:t>Odpowiedź:</w:t>
      </w:r>
      <w:r w:rsidR="005F1FC9" w:rsidRPr="005F1FC9">
        <w:rPr>
          <w:rFonts w:ascii="Tahoma" w:hAnsi="Tahoma" w:cs="Tahoma"/>
          <w:b/>
          <w:sz w:val="20"/>
          <w:szCs w:val="20"/>
        </w:rPr>
        <w:t>Durabook r11ah.</w:t>
      </w:r>
    </w:p>
    <w:p w:rsidR="007B18E8" w:rsidRPr="005F1FC9" w:rsidRDefault="007B18E8" w:rsidP="007B18E8">
      <w:pPr>
        <w:rPr>
          <w:rFonts w:ascii="Tahoma" w:hAnsi="Tahoma" w:cs="Tahoma"/>
          <w:bCs/>
          <w:sz w:val="20"/>
          <w:szCs w:val="20"/>
        </w:rPr>
      </w:pPr>
    </w:p>
    <w:p w:rsidR="007B18E8" w:rsidRPr="005F1FC9" w:rsidRDefault="007B18E8" w:rsidP="007B18E8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5F1FC9">
        <w:rPr>
          <w:rFonts w:ascii="Tahoma" w:hAnsi="Tahoma" w:cs="Tahoma"/>
          <w:b/>
          <w:bCs/>
          <w:color w:val="auto"/>
          <w:sz w:val="20"/>
          <w:szCs w:val="20"/>
        </w:rPr>
        <w:t>Pytanie nr 14</w:t>
      </w:r>
    </w:p>
    <w:p w:rsidR="00D54A79" w:rsidRPr="005F1FC9" w:rsidRDefault="007B18E8" w:rsidP="007B18E8">
      <w:pPr>
        <w:rPr>
          <w:rFonts w:ascii="Tahoma" w:hAnsi="Tahoma" w:cs="Tahoma"/>
          <w:bCs/>
          <w:sz w:val="20"/>
          <w:szCs w:val="20"/>
        </w:rPr>
      </w:pPr>
      <w:r w:rsidRPr="005F1FC9">
        <w:rPr>
          <w:rFonts w:ascii="Tahoma" w:hAnsi="Tahoma" w:cs="Tahoma"/>
          <w:bCs/>
          <w:sz w:val="20"/>
          <w:szCs w:val="20"/>
        </w:rPr>
        <w:t xml:space="preserve">14.Dotyczy opisu przedmiotu zamówienia </w:t>
      </w:r>
      <w:r w:rsidR="00E73039" w:rsidRPr="005F1FC9">
        <w:rPr>
          <w:rFonts w:ascii="Tahoma" w:hAnsi="Tahoma" w:cs="Tahoma"/>
          <w:bCs/>
          <w:sz w:val="20"/>
          <w:szCs w:val="20"/>
        </w:rPr>
        <w:t xml:space="preserve">– pkt. 9.3 – prosimy o podanie </w:t>
      </w:r>
      <w:r w:rsidRPr="005F1FC9">
        <w:rPr>
          <w:rFonts w:ascii="Tahoma" w:hAnsi="Tahoma" w:cs="Tahoma"/>
          <w:bCs/>
          <w:sz w:val="20"/>
          <w:szCs w:val="20"/>
        </w:rPr>
        <w:t xml:space="preserve">marki i modelu modułu GPS teltonika jaki </w:t>
      </w:r>
      <w:r w:rsidR="00E73039" w:rsidRPr="005F1FC9">
        <w:rPr>
          <w:rFonts w:ascii="Tahoma" w:hAnsi="Tahoma" w:cs="Tahoma"/>
          <w:bCs/>
          <w:sz w:val="20"/>
          <w:szCs w:val="20"/>
        </w:rPr>
        <w:t xml:space="preserve">będzie użytkowany w ambulansie </w:t>
      </w:r>
      <w:r w:rsidRPr="005F1FC9">
        <w:rPr>
          <w:rFonts w:ascii="Tahoma" w:hAnsi="Tahoma" w:cs="Tahoma"/>
          <w:bCs/>
          <w:sz w:val="20"/>
          <w:szCs w:val="20"/>
        </w:rPr>
        <w:t>abyśmy mogli wyprowadzić odpowiednie przewody.</w:t>
      </w:r>
    </w:p>
    <w:p w:rsidR="00E73039" w:rsidRPr="005F1FC9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F1FC9">
        <w:rPr>
          <w:rFonts w:ascii="Tahoma" w:hAnsi="Tahoma" w:cs="Tahoma"/>
          <w:b/>
          <w:sz w:val="20"/>
          <w:szCs w:val="20"/>
        </w:rPr>
        <w:t>Odpowiedź:</w:t>
      </w:r>
      <w:r w:rsidR="005F1FC9" w:rsidRPr="005F1FC9">
        <w:rPr>
          <w:rFonts w:ascii="Tahoma" w:hAnsi="Tahoma" w:cs="Tahoma"/>
          <w:b/>
          <w:sz w:val="20"/>
          <w:szCs w:val="20"/>
        </w:rPr>
        <w:t>Teltonika FM3300.</w:t>
      </w:r>
    </w:p>
    <w:p w:rsidR="00A17844" w:rsidRPr="007B18E8" w:rsidRDefault="00A17844" w:rsidP="00D54A79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3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C61" w:rsidRPr="00BA55B0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 1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Dotyczy Defibrylator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Czy Zamawiający dopuści na zasadach równoważności wysokiej klasy defibrylator, cenionego europejskiego producenta o następujących parametrach: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Defibrylator przenośny z torbą transportową, testerem wyładowań wbudowany w urządzenie (możliwość wykonania defibrylacji w lożach defibrylatora) i certyfikowanym uchwytem karetkowym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ładowanie akumulatorów bezpośrednio z uchwytu karetkowego, bez konieczności użytkowania ładowarki zewnętrznej;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 xml:space="preserve"> - Czas pracy na 3 akumulatorach do dziesięciu godzin lub 428 defibrylacji energią 200 J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Autotest wykonywany po każdorazowym włączeniu urządzenia z możliwością wydruku protokołu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Łyżki twarde z regulacją energii defibrylacji z automatycznym wydrukiem po każdorazowym wyładowaniu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Obsługa defibrylatora z łyżek defibrylacyjnych zewnętrznych (wybór energii, defibrylacja) także przy zainstalowanych nakładkach pediatrycznych z automatycznym wydrukiem po defibrylacji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Częstość stymulacji 30-150 imp./min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lastRenderedPageBreak/>
        <w:t>- Regulacja prądu stymulacji 0-150 mA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-Odczyt 6 i 12 odprowadzeń EKG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Zakres pomiaru tętna z obwodu 25-240 u/min.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Zakres wzmocnienia EKG od 0,25 dco 2 cm/mV</w:t>
      </w:r>
    </w:p>
    <w:p w:rsidR="007B18E8" w:rsidRP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- Pamięć w postaci karty danych do rejestrowania danych</w:t>
      </w:r>
    </w:p>
    <w:p w:rsidR="007B18E8" w:rsidRDefault="007B18E8" w:rsidP="007B18E8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Przy zachowaniu pozostałych zapisów OPZ</w:t>
      </w:r>
    </w:p>
    <w:p w:rsidR="00335C61" w:rsidRPr="006C5612" w:rsidRDefault="00335C61" w:rsidP="007B18E8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SIWZ.</w:t>
      </w:r>
    </w:p>
    <w:p w:rsidR="00BA55B0" w:rsidRPr="00BA55B0" w:rsidRDefault="00BA55B0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4</w:t>
      </w:r>
    </w:p>
    <w:p w:rsidR="00335AC4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BA55B0" w:rsidRPr="00BA55B0" w:rsidRDefault="00BA55B0" w:rsidP="00BA55B0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 1</w:t>
      </w:r>
    </w:p>
    <w:p w:rsidR="007B18E8" w:rsidRP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Pytanie 1.</w:t>
      </w:r>
    </w:p>
    <w:p w:rsidR="007B18E8" w:rsidRP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 xml:space="preserve">Prosimy o podanie sposobu dostawy ambulansów, czy </w:t>
      </w:r>
      <w:r w:rsidR="00E73039">
        <w:rPr>
          <w:rFonts w:ascii="Tahoma" w:hAnsi="Tahoma" w:cs="Tahoma"/>
          <w:sz w:val="20"/>
          <w:szCs w:val="20"/>
        </w:rPr>
        <w:t>dopuszcza się dojazd na kołach?</w:t>
      </w:r>
    </w:p>
    <w:p w:rsidR="007B18E8" w:rsidRP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Wyjaśniamy, że ma to duży wpływ na cenę przedmiotu zamówienia.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Dopuszcza dojazd n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>a kołach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7B18E8" w:rsidRPr="00E73039" w:rsidRDefault="007B18E8" w:rsidP="007B18E8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B18E8" w:rsidRPr="00E73039" w:rsidRDefault="00E73039" w:rsidP="007B18E8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2</w:t>
      </w:r>
    </w:p>
    <w:p w:rsidR="007B18E8" w:rsidRP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>Czy Zamawiający wyrazi zgodę, aby odbiór ambulansu odbył się w siedzibie Wykonawcy tj. w zakładzie wykonującym  zabudowę, co pozwoli na przeprowadzenie gruntownego szkolenia z zakresu Obsługi ambulansu i jego wyposażenia ?</w:t>
      </w:r>
    </w:p>
    <w:p w:rsidR="007B18E8" w:rsidRP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</w:p>
    <w:p w:rsidR="00E73039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  <w:r w:rsidRPr="007B18E8">
        <w:rPr>
          <w:rFonts w:ascii="Tahoma" w:hAnsi="Tahoma" w:cs="Tahoma"/>
          <w:sz w:val="20"/>
          <w:szCs w:val="20"/>
        </w:rPr>
        <w:t xml:space="preserve">Wyjaśniamy, że w związku z bardzo dużą ilością zamówień w czwartym kwartale roku  dojazd do siedziby Zamawiającego może być bardzo utrudniony, a możliwość szkolenia i ewentualnej modyfikacji koncepcji wyposażenia wg. życzeń </w:t>
      </w:r>
      <w:r>
        <w:rPr>
          <w:rFonts w:ascii="Tahoma" w:hAnsi="Tahoma" w:cs="Tahoma"/>
          <w:sz w:val="20"/>
          <w:szCs w:val="20"/>
        </w:rPr>
        <w:t xml:space="preserve"> klienta są dla niego korzystne</w:t>
      </w:r>
      <w:r w:rsidR="00BA55B0" w:rsidRPr="00BA55B0">
        <w:rPr>
          <w:rFonts w:ascii="Tahoma" w:hAnsi="Tahoma" w:cs="Tahoma"/>
          <w:sz w:val="20"/>
          <w:szCs w:val="20"/>
        </w:rPr>
        <w:t>?</w:t>
      </w:r>
    </w:p>
    <w:p w:rsidR="007B18E8" w:rsidRDefault="007B18E8" w:rsidP="007B18E8">
      <w:pPr>
        <w:pStyle w:val="Default"/>
        <w:rPr>
          <w:rFonts w:ascii="Tahoma" w:hAnsi="Tahoma" w:cs="Tahoma"/>
          <w:sz w:val="20"/>
          <w:szCs w:val="20"/>
        </w:rPr>
      </w:pPr>
    </w:p>
    <w:p w:rsid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F1FC9">
        <w:rPr>
          <w:rFonts w:ascii="Tahoma" w:hAnsi="Tahoma" w:cs="Tahoma"/>
          <w:b/>
          <w:color w:val="000000" w:themeColor="text1"/>
          <w:sz w:val="20"/>
          <w:szCs w:val="20"/>
        </w:rPr>
        <w:t>Odbiór w siedzibie Zamawiającego.</w:t>
      </w:r>
    </w:p>
    <w:p w:rsidR="00E73039" w:rsidRDefault="00E73039" w:rsidP="00BA55B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7B18E8" w:rsidRPr="00BA55B0" w:rsidRDefault="007B18E8" w:rsidP="007B18E8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5</w:t>
      </w:r>
    </w:p>
    <w:p w:rsidR="007B18E8" w:rsidRDefault="007B18E8" w:rsidP="00BA55B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7B18E8" w:rsidRPr="0026007E" w:rsidRDefault="007B18E8" w:rsidP="007B18E8">
      <w:pPr>
        <w:jc w:val="both"/>
        <w:rPr>
          <w:rFonts w:ascii="Arial" w:hAnsi="Arial" w:cs="Arial"/>
          <w:sz w:val="22"/>
          <w:szCs w:val="22"/>
        </w:rPr>
      </w:pPr>
      <w:r w:rsidRPr="0026007E">
        <w:rPr>
          <w:rFonts w:ascii="Arial" w:hAnsi="Arial" w:cs="Arial"/>
          <w:sz w:val="22"/>
          <w:szCs w:val="22"/>
        </w:rPr>
        <w:t>Pytanie 1.</w:t>
      </w:r>
    </w:p>
    <w:p w:rsidR="007B18E8" w:rsidRPr="001B28BD" w:rsidRDefault="007B18E8" w:rsidP="007B18E8">
      <w:pPr>
        <w:rPr>
          <w:rFonts w:ascii="Arial" w:hAnsi="Arial" w:cs="Arial"/>
          <w:sz w:val="22"/>
          <w:szCs w:val="22"/>
        </w:rPr>
      </w:pPr>
      <w:r w:rsidRPr="001B28BD">
        <w:rPr>
          <w:rFonts w:ascii="Arial" w:hAnsi="Arial" w:cs="Arial"/>
          <w:sz w:val="22"/>
          <w:szCs w:val="22"/>
        </w:rPr>
        <w:t>Czy w związku z publiczną deklaracją wiceministra zdrowia p. Janusza Cieszyńskiego o możliwości aneksowania umowy na dotację z Ministerstwem Zdrowia do końca marca przyszłego roku Zamawiający dopuszcza realizację zamówienie do końca pierwszego kwartału 2020 r.?</w:t>
      </w:r>
    </w:p>
    <w:p w:rsidR="00E73039" w:rsidRPr="006C5612" w:rsidRDefault="00E73039" w:rsidP="00E73039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B74CE1">
        <w:rPr>
          <w:rFonts w:ascii="Tahoma" w:hAnsi="Tahoma" w:cs="Tahoma"/>
          <w:b/>
          <w:color w:val="000000" w:themeColor="text1"/>
          <w:sz w:val="20"/>
          <w:szCs w:val="20"/>
        </w:rPr>
        <w:t xml:space="preserve"> Nie.</w:t>
      </w:r>
    </w:p>
    <w:p w:rsidR="007B18E8" w:rsidRDefault="007B18E8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3278A" w:rsidRPr="00BA55B0" w:rsidRDefault="0093278A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przedłuża termin składania ofert do dnia 13.09.2019 r. do godz. 10:00, termin otwarcia wyznacza na dzień 13.09.2019 r. godz. 10:15. Pozostałe treści zawarte w SIWZ pozostają bez zmian.</w:t>
      </w:r>
    </w:p>
    <w:p w:rsidR="000B6724" w:rsidRPr="0042758E" w:rsidRDefault="000B6724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</w:p>
    <w:sectPr w:rsidR="000B6724" w:rsidRPr="0042758E" w:rsidSect="009342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8A" w:rsidRDefault="0093278A" w:rsidP="002F0207">
      <w:r>
        <w:separator/>
      </w:r>
    </w:p>
  </w:endnote>
  <w:endnote w:type="continuationSeparator" w:id="0">
    <w:p w:rsidR="0093278A" w:rsidRDefault="0093278A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93278A" w:rsidRDefault="0093278A">
        <w:pPr>
          <w:pStyle w:val="Stopka"/>
          <w:jc w:val="center"/>
        </w:pPr>
        <w:fldSimple w:instr=" PAGE   \* MERGEFORMAT ">
          <w:r w:rsidR="004F31B3">
            <w:rPr>
              <w:noProof/>
            </w:rPr>
            <w:t>5</w:t>
          </w:r>
        </w:fldSimple>
      </w:p>
    </w:sdtContent>
  </w:sdt>
  <w:p w:rsidR="0093278A" w:rsidRDefault="00932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8A" w:rsidRDefault="0093278A" w:rsidP="002F0207">
      <w:r>
        <w:separator/>
      </w:r>
    </w:p>
  </w:footnote>
  <w:footnote w:type="continuationSeparator" w:id="0">
    <w:p w:rsidR="0093278A" w:rsidRDefault="0093278A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3278A" w:rsidTr="00C5693E">
      <w:trPr>
        <w:trHeight w:val="2264"/>
        <w:jc w:val="center"/>
      </w:trPr>
      <w:tc>
        <w:tcPr>
          <w:tcW w:w="2779" w:type="dxa"/>
        </w:tcPr>
        <w:p w:rsidR="0093278A" w:rsidRPr="00AE7B28" w:rsidRDefault="0093278A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3278A" w:rsidRDefault="0093278A" w:rsidP="00C5693E">
          <w:pPr>
            <w:ind w:right="281"/>
            <w:jc w:val="right"/>
            <w:rPr>
              <w:b/>
            </w:rPr>
          </w:pPr>
        </w:p>
        <w:p w:rsidR="0093278A" w:rsidRDefault="0093278A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93278A" w:rsidRDefault="0093278A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3278A" w:rsidRDefault="0093278A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78A" w:rsidRDefault="00932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7353"/>
    <w:rsid w:val="000320BF"/>
    <w:rsid w:val="0003622C"/>
    <w:rsid w:val="00045FA8"/>
    <w:rsid w:val="0005264E"/>
    <w:rsid w:val="000634DA"/>
    <w:rsid w:val="00074A63"/>
    <w:rsid w:val="0008138F"/>
    <w:rsid w:val="000832B6"/>
    <w:rsid w:val="00096C3E"/>
    <w:rsid w:val="000A0DB2"/>
    <w:rsid w:val="000A2D1F"/>
    <w:rsid w:val="000A67DF"/>
    <w:rsid w:val="000A73AC"/>
    <w:rsid w:val="000B1E6B"/>
    <w:rsid w:val="000B6724"/>
    <w:rsid w:val="000B73B4"/>
    <w:rsid w:val="000C35E8"/>
    <w:rsid w:val="000D6888"/>
    <w:rsid w:val="000E452E"/>
    <w:rsid w:val="000E6B36"/>
    <w:rsid w:val="001033C9"/>
    <w:rsid w:val="00112D5C"/>
    <w:rsid w:val="001174CE"/>
    <w:rsid w:val="0014456B"/>
    <w:rsid w:val="0014466A"/>
    <w:rsid w:val="001524D3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A5A40"/>
    <w:rsid w:val="001B45F5"/>
    <w:rsid w:val="001B5F51"/>
    <w:rsid w:val="001C5587"/>
    <w:rsid w:val="001D765E"/>
    <w:rsid w:val="001E4B81"/>
    <w:rsid w:val="001E5FDD"/>
    <w:rsid w:val="001F04E0"/>
    <w:rsid w:val="001F2996"/>
    <w:rsid w:val="00230A32"/>
    <w:rsid w:val="002342E1"/>
    <w:rsid w:val="00240191"/>
    <w:rsid w:val="00254712"/>
    <w:rsid w:val="00261C24"/>
    <w:rsid w:val="002642CA"/>
    <w:rsid w:val="00264A2B"/>
    <w:rsid w:val="002968C5"/>
    <w:rsid w:val="002B273C"/>
    <w:rsid w:val="002B5BA7"/>
    <w:rsid w:val="002C22E9"/>
    <w:rsid w:val="002C736E"/>
    <w:rsid w:val="002D521A"/>
    <w:rsid w:val="002E10CD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2D49"/>
    <w:rsid w:val="003131B0"/>
    <w:rsid w:val="00315759"/>
    <w:rsid w:val="00322814"/>
    <w:rsid w:val="00323B51"/>
    <w:rsid w:val="003258AB"/>
    <w:rsid w:val="00335AC4"/>
    <w:rsid w:val="00335C61"/>
    <w:rsid w:val="003400CF"/>
    <w:rsid w:val="003416BD"/>
    <w:rsid w:val="00344F2E"/>
    <w:rsid w:val="003476E6"/>
    <w:rsid w:val="00347F15"/>
    <w:rsid w:val="00356648"/>
    <w:rsid w:val="00361427"/>
    <w:rsid w:val="003A505E"/>
    <w:rsid w:val="003A549A"/>
    <w:rsid w:val="003B03C4"/>
    <w:rsid w:val="003B0AA4"/>
    <w:rsid w:val="003B7EE8"/>
    <w:rsid w:val="003C4BBD"/>
    <w:rsid w:val="003C736E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2758E"/>
    <w:rsid w:val="00430A25"/>
    <w:rsid w:val="00432130"/>
    <w:rsid w:val="00440957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31B3"/>
    <w:rsid w:val="004F7A10"/>
    <w:rsid w:val="00500EF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0B81"/>
    <w:rsid w:val="00591369"/>
    <w:rsid w:val="00595B11"/>
    <w:rsid w:val="005962A5"/>
    <w:rsid w:val="00597E01"/>
    <w:rsid w:val="005A5C51"/>
    <w:rsid w:val="005B29CF"/>
    <w:rsid w:val="005B36E5"/>
    <w:rsid w:val="005B4BEE"/>
    <w:rsid w:val="005B7426"/>
    <w:rsid w:val="005C06D3"/>
    <w:rsid w:val="005C225F"/>
    <w:rsid w:val="005C34F7"/>
    <w:rsid w:val="005C4C67"/>
    <w:rsid w:val="005C5A58"/>
    <w:rsid w:val="005C7F21"/>
    <w:rsid w:val="005D0597"/>
    <w:rsid w:val="005D7FD8"/>
    <w:rsid w:val="005E22E7"/>
    <w:rsid w:val="005E3705"/>
    <w:rsid w:val="005E459D"/>
    <w:rsid w:val="005F039D"/>
    <w:rsid w:val="005F1FC9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B6377"/>
    <w:rsid w:val="006C00AD"/>
    <w:rsid w:val="006C4EDE"/>
    <w:rsid w:val="006C5612"/>
    <w:rsid w:val="006D252C"/>
    <w:rsid w:val="006D6F19"/>
    <w:rsid w:val="006E4F34"/>
    <w:rsid w:val="006F1C35"/>
    <w:rsid w:val="006F286C"/>
    <w:rsid w:val="006F6C63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1537"/>
    <w:rsid w:val="007829FD"/>
    <w:rsid w:val="00785299"/>
    <w:rsid w:val="007A2E1C"/>
    <w:rsid w:val="007B18E8"/>
    <w:rsid w:val="007B38B0"/>
    <w:rsid w:val="007C604F"/>
    <w:rsid w:val="007C7CC0"/>
    <w:rsid w:val="007D7475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95FAD"/>
    <w:rsid w:val="008B13B2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2455B"/>
    <w:rsid w:val="0093278A"/>
    <w:rsid w:val="009342BB"/>
    <w:rsid w:val="009455C1"/>
    <w:rsid w:val="00963CA3"/>
    <w:rsid w:val="00967AA5"/>
    <w:rsid w:val="00976496"/>
    <w:rsid w:val="00997D7B"/>
    <w:rsid w:val="009A637D"/>
    <w:rsid w:val="009B0C15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17844"/>
    <w:rsid w:val="00A2580A"/>
    <w:rsid w:val="00A378A0"/>
    <w:rsid w:val="00A41FD1"/>
    <w:rsid w:val="00A555DA"/>
    <w:rsid w:val="00A55FD0"/>
    <w:rsid w:val="00A603A2"/>
    <w:rsid w:val="00A611FC"/>
    <w:rsid w:val="00A7733F"/>
    <w:rsid w:val="00A84DEB"/>
    <w:rsid w:val="00AA0FAD"/>
    <w:rsid w:val="00AB2226"/>
    <w:rsid w:val="00AD014C"/>
    <w:rsid w:val="00AD2025"/>
    <w:rsid w:val="00AD6999"/>
    <w:rsid w:val="00AE3EAF"/>
    <w:rsid w:val="00AF2A3C"/>
    <w:rsid w:val="00B05807"/>
    <w:rsid w:val="00B07307"/>
    <w:rsid w:val="00B3016D"/>
    <w:rsid w:val="00B36D72"/>
    <w:rsid w:val="00B37682"/>
    <w:rsid w:val="00B37CA6"/>
    <w:rsid w:val="00B4109F"/>
    <w:rsid w:val="00B458D2"/>
    <w:rsid w:val="00B54299"/>
    <w:rsid w:val="00B7095D"/>
    <w:rsid w:val="00B74CE1"/>
    <w:rsid w:val="00B80CC7"/>
    <w:rsid w:val="00B87E07"/>
    <w:rsid w:val="00B92DF9"/>
    <w:rsid w:val="00BA347B"/>
    <w:rsid w:val="00BA35AD"/>
    <w:rsid w:val="00BA55B0"/>
    <w:rsid w:val="00BB2AE5"/>
    <w:rsid w:val="00BB3F13"/>
    <w:rsid w:val="00BB688F"/>
    <w:rsid w:val="00BC425C"/>
    <w:rsid w:val="00BC5F73"/>
    <w:rsid w:val="00BD453C"/>
    <w:rsid w:val="00BE5155"/>
    <w:rsid w:val="00BE5F87"/>
    <w:rsid w:val="00BE61AD"/>
    <w:rsid w:val="00BE78E8"/>
    <w:rsid w:val="00BF3B6D"/>
    <w:rsid w:val="00C10858"/>
    <w:rsid w:val="00C10C0C"/>
    <w:rsid w:val="00C22C91"/>
    <w:rsid w:val="00C267DE"/>
    <w:rsid w:val="00C31493"/>
    <w:rsid w:val="00C342DA"/>
    <w:rsid w:val="00C41D75"/>
    <w:rsid w:val="00C44F79"/>
    <w:rsid w:val="00C4693F"/>
    <w:rsid w:val="00C46F05"/>
    <w:rsid w:val="00C477A4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A3EFB"/>
    <w:rsid w:val="00CB0965"/>
    <w:rsid w:val="00CB1205"/>
    <w:rsid w:val="00CC1F1B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15FE"/>
    <w:rsid w:val="00D52C5A"/>
    <w:rsid w:val="00D533E3"/>
    <w:rsid w:val="00D54A79"/>
    <w:rsid w:val="00D6288A"/>
    <w:rsid w:val="00D75EC2"/>
    <w:rsid w:val="00D8157C"/>
    <w:rsid w:val="00D91386"/>
    <w:rsid w:val="00D97736"/>
    <w:rsid w:val="00DD16E8"/>
    <w:rsid w:val="00DD62D2"/>
    <w:rsid w:val="00DD7F52"/>
    <w:rsid w:val="00DE36BF"/>
    <w:rsid w:val="00DF5CB0"/>
    <w:rsid w:val="00E01C70"/>
    <w:rsid w:val="00E05976"/>
    <w:rsid w:val="00E0662C"/>
    <w:rsid w:val="00E075B3"/>
    <w:rsid w:val="00E2198C"/>
    <w:rsid w:val="00E229A5"/>
    <w:rsid w:val="00E2487F"/>
    <w:rsid w:val="00E25C97"/>
    <w:rsid w:val="00E32B2E"/>
    <w:rsid w:val="00E34BB0"/>
    <w:rsid w:val="00E34C4F"/>
    <w:rsid w:val="00E37427"/>
    <w:rsid w:val="00E37B3C"/>
    <w:rsid w:val="00E40728"/>
    <w:rsid w:val="00E439E0"/>
    <w:rsid w:val="00E4443A"/>
    <w:rsid w:val="00E44FF6"/>
    <w:rsid w:val="00E471A1"/>
    <w:rsid w:val="00E5066B"/>
    <w:rsid w:val="00E52735"/>
    <w:rsid w:val="00E64C6E"/>
    <w:rsid w:val="00E65BD3"/>
    <w:rsid w:val="00E72EC3"/>
    <w:rsid w:val="00E73039"/>
    <w:rsid w:val="00E75461"/>
    <w:rsid w:val="00E905FA"/>
    <w:rsid w:val="00E90FAF"/>
    <w:rsid w:val="00EB1C03"/>
    <w:rsid w:val="00EB792C"/>
    <w:rsid w:val="00ED0B0D"/>
    <w:rsid w:val="00ED5868"/>
    <w:rsid w:val="00ED7780"/>
    <w:rsid w:val="00EE7465"/>
    <w:rsid w:val="00EF68A3"/>
    <w:rsid w:val="00F07269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link w:val="BezodstpwZnak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boldtext">
    <w:name w:val="bold_text"/>
    <w:basedOn w:val="Domylnaczcionkaakapitu"/>
    <w:rsid w:val="000B6724"/>
  </w:style>
  <w:style w:type="character" w:customStyle="1" w:styleId="BezodstpwZnak">
    <w:name w:val="Bez odstępów Znak"/>
    <w:link w:val="Bezodstpw"/>
    <w:uiPriority w:val="1"/>
    <w:locked/>
    <w:rsid w:val="007B18E8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5B1C4-D1ED-42B7-92B7-75FD9F8B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5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89</cp:revision>
  <cp:lastPrinted>2019-01-11T11:42:00Z</cp:lastPrinted>
  <dcterms:created xsi:type="dcterms:W3CDTF">2018-04-09T05:57:00Z</dcterms:created>
  <dcterms:modified xsi:type="dcterms:W3CDTF">2019-09-10T11:47:00Z</dcterms:modified>
</cp:coreProperties>
</file>