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Pr="001C203E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Iława, dn.</w:t>
      </w:r>
      <w:r w:rsidR="001C203E" w:rsidRPr="001C203E">
        <w:rPr>
          <w:rFonts w:ascii="Tahoma" w:hAnsi="Tahoma" w:cs="Tahoma"/>
          <w:sz w:val="20"/>
          <w:szCs w:val="20"/>
        </w:rPr>
        <w:t>20</w:t>
      </w:r>
      <w:r w:rsidR="00C54957" w:rsidRPr="001C203E">
        <w:rPr>
          <w:rFonts w:ascii="Tahoma" w:hAnsi="Tahoma" w:cs="Tahoma"/>
          <w:sz w:val="20"/>
          <w:szCs w:val="20"/>
        </w:rPr>
        <w:t>.</w:t>
      </w:r>
      <w:r w:rsidR="00F81763" w:rsidRPr="001C203E">
        <w:rPr>
          <w:rFonts w:ascii="Tahoma" w:hAnsi="Tahoma" w:cs="Tahoma"/>
          <w:sz w:val="20"/>
          <w:szCs w:val="20"/>
        </w:rPr>
        <w:t>11</w:t>
      </w:r>
      <w:r w:rsidR="00E14087" w:rsidRPr="001C203E">
        <w:rPr>
          <w:rFonts w:ascii="Tahoma" w:hAnsi="Tahoma" w:cs="Tahoma"/>
          <w:sz w:val="20"/>
          <w:szCs w:val="20"/>
        </w:rPr>
        <w:t>.201</w:t>
      </w:r>
      <w:r w:rsidR="00C54957" w:rsidRPr="001C203E">
        <w:rPr>
          <w:rFonts w:ascii="Tahoma" w:hAnsi="Tahoma" w:cs="Tahoma"/>
          <w:sz w:val="20"/>
          <w:szCs w:val="20"/>
        </w:rPr>
        <w:t>8</w:t>
      </w:r>
      <w:r w:rsidR="00B1471D" w:rsidRPr="001C203E">
        <w:rPr>
          <w:rFonts w:ascii="Tahoma" w:hAnsi="Tahoma" w:cs="Tahoma"/>
          <w:sz w:val="20"/>
          <w:szCs w:val="20"/>
        </w:rPr>
        <w:t xml:space="preserve"> </w:t>
      </w:r>
      <w:r w:rsidR="00E14087" w:rsidRPr="001C203E">
        <w:rPr>
          <w:rFonts w:ascii="Tahoma" w:hAnsi="Tahoma" w:cs="Tahoma"/>
          <w:sz w:val="20"/>
          <w:szCs w:val="20"/>
        </w:rPr>
        <w:t>r.</w:t>
      </w:r>
    </w:p>
    <w:p w:rsidR="002A225B" w:rsidRPr="001C203E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D1499E" w:rsidRPr="001C203E" w:rsidRDefault="003B356C" w:rsidP="00D1499E">
      <w:pPr>
        <w:autoSpaceDE w:val="0"/>
        <w:spacing w:line="360" w:lineRule="auto"/>
        <w:ind w:firstLine="708"/>
        <w:jc w:val="both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1C203E">
        <w:rPr>
          <w:rFonts w:ascii="Tahoma" w:hAnsi="Tahoma" w:cs="Tahoma"/>
          <w:b/>
          <w:sz w:val="20"/>
          <w:szCs w:val="20"/>
        </w:rPr>
        <w:t xml:space="preserve">zapytanie ofertowe </w:t>
      </w:r>
      <w:r w:rsidR="00D1499E" w:rsidRPr="001C203E">
        <w:rPr>
          <w:rFonts w:ascii="Tahoma" w:eastAsia="Tahoma" w:hAnsi="Tahoma" w:cs="Tahoma"/>
          <w:b/>
          <w:bCs/>
          <w:sz w:val="20"/>
          <w:szCs w:val="20"/>
        </w:rPr>
        <w:t xml:space="preserve">na </w:t>
      </w:r>
      <w:r w:rsidR="00F81763" w:rsidRPr="001C203E">
        <w:rPr>
          <w:rFonts w:ascii="Tahoma" w:eastAsia="Tahoma" w:hAnsi="Tahoma" w:cs="Tahoma"/>
          <w:b/>
          <w:bCs/>
          <w:sz w:val="20"/>
          <w:szCs w:val="20"/>
        </w:rPr>
        <w:t xml:space="preserve">dostawę </w:t>
      </w:r>
      <w:r w:rsidR="00F81763" w:rsidRPr="001C203E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kardiomonitorów z centralą monitorującą </w:t>
      </w:r>
      <w:r w:rsidR="00F81763" w:rsidRPr="001C203E">
        <w:rPr>
          <w:rFonts w:ascii="Tahoma" w:eastAsia="Tahoma" w:hAnsi="Tahoma" w:cs="Tahoma"/>
          <w:b/>
          <w:bCs/>
          <w:sz w:val="20"/>
          <w:szCs w:val="20"/>
        </w:rPr>
        <w:t>dla Powiatowego Szpitala im. Władysława Biegańskiego w Iławie</w:t>
      </w:r>
    </w:p>
    <w:p w:rsidR="001C203E" w:rsidRPr="001C203E" w:rsidRDefault="0073143C" w:rsidP="001C203E">
      <w:pPr>
        <w:spacing w:line="360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1C203E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 w:rsidRPr="001C203E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 w:rsidRPr="001C203E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 w:rsidRPr="001C203E">
        <w:rPr>
          <w:rFonts w:ascii="Tahoma" w:hAnsi="Tahoma" w:cs="Tahoma"/>
          <w:iCs/>
          <w:color w:val="000000"/>
          <w:sz w:val="20"/>
          <w:szCs w:val="20"/>
        </w:rPr>
        <w:t>ZP-</w:t>
      </w:r>
      <w:r w:rsidR="00F81763" w:rsidRPr="001C203E">
        <w:rPr>
          <w:rFonts w:ascii="Tahoma" w:hAnsi="Tahoma" w:cs="Tahoma"/>
          <w:iCs/>
          <w:color w:val="000000"/>
          <w:sz w:val="20"/>
          <w:szCs w:val="20"/>
        </w:rPr>
        <w:t>120</w:t>
      </w:r>
      <w:r w:rsidR="00C54957" w:rsidRPr="001C203E">
        <w:rPr>
          <w:rFonts w:ascii="Tahoma" w:hAnsi="Tahoma" w:cs="Tahoma"/>
          <w:iCs/>
          <w:color w:val="000000"/>
          <w:sz w:val="20"/>
          <w:szCs w:val="20"/>
        </w:rPr>
        <w:t>/2018</w:t>
      </w:r>
      <w:r w:rsidRPr="001C203E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1C203E" w:rsidRPr="001C203E" w:rsidRDefault="001C203E" w:rsidP="001C203E">
      <w:pPr>
        <w:pStyle w:val="HTML-wstpniesformatowany"/>
        <w:jc w:val="both"/>
        <w:rPr>
          <w:rFonts w:ascii="Tahoma" w:hAnsi="Tahoma" w:cs="Tahoma"/>
          <w:b/>
          <w:u w:val="single"/>
        </w:rPr>
      </w:pPr>
      <w:r w:rsidRPr="001C203E">
        <w:rPr>
          <w:rFonts w:ascii="Tahoma" w:hAnsi="Tahoma" w:cs="Tahoma"/>
          <w:b/>
          <w:u w:val="single"/>
        </w:rPr>
        <w:t>Zapytanie nr 4</w:t>
      </w:r>
    </w:p>
    <w:p w:rsidR="001C203E" w:rsidRPr="001C203E" w:rsidRDefault="001C203E" w:rsidP="001C203E">
      <w:pPr>
        <w:pStyle w:val="Tekstpodstawowy"/>
        <w:rPr>
          <w:rFonts w:ascii="Tahoma" w:hAnsi="Tahoma" w:cs="Tahoma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Dot. pkt. 1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 xml:space="preserve">Czy Zamawiający dopuści kardiomonitor stacjonarno-przenośny o masie nie większej niż 4,5 kg? Jest to nieznaczna różnica od wymaganej. Ponadto zgodnie z punktem 25 specyfikacji Zamawiający wymaga dostarczenia wraz z kardiomonitorem uchwytu ściennego więc różnica w wadze na poziomie 0,5kg nie ma znaczenia użytkowego.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Dot. pkt. 5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posiadający pamięć trendów graficznych i tabelarycznych  wszystkich mierzonych parametrów: 240-godzinne z rozdzielczością nie gorszą niż 1 minuta i 1 godzinne z rozdzielczością 1 sekundy? Jednocześnie chcielibyśmy nadmienić, iż biorąc pod uwagę profil oddziałów, w których mają pracować kardiomonitory, uwzględniając przede wszystkim walory kliniczne, proponowane rozwiązanie jest optymalnym dla użytkownika. Ponadto w centrali, która również jest przedmiotem niniejszego postępowania, pamięć trendów jest praktycznie nieograniczona.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Dot. pkt. 6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zapamiętywanie zdarzeń alarmowych – pamięć, co najmniej 200 zdarzeń na jednego pacjenta wraz ze wszystkim parametrami oraz krzywą która wywołała alarm? Wraz z kardiomonitorem Zamawiający wymaga dostarczenia centrali, która w tym przypadku pozwala na archiwizację ponad 20 000 zdarzeń alarmowych na jednego pacjenta.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Dot. pkt. 9 ppkt. 7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z analizą odchylenia odcinaka ST w każdym odprowadzeniu jednocześnie i w czasie rzeczywistym z wynikami wyrażonymi tylko w mV (od -2,0 do +2,0) na ekranie głównym kardiomonitora? Chcielibyśmy zwrócić uwagę, że wychylenie odcinka ST odbywa się w osi Y zapisu EKG, która wyrażona jest w mV. Naturalną więc konsekwencją jest wyrażanie odchylenia odcinka ST również w mV. Co więcej przelicznik z mV na mm jest wprost proporcjonalny (-2,0 mV do +2,0 mV to -20,0 mm do +20,0 mm) co oznacza, że jego przeliczanie jest prostsze i szybsze niż sama czynność zmiany jednostki w menu kardiomonitora.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lastRenderedPageBreak/>
        <w:t xml:space="preserve">Dot. pkt. 9 ppkt. 8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z prezentacją liczbową zmian odchylenia odcinka ST w czasie rzeczywistym na ekranie głównym monitora we wszystkich odprowadzeniach jednocześnie bez potrzeby przełączania się do menu kardiomonitora?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Dot. pkt. 9 ppkt. 9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wyposażony w możliwość monitorowania odcinka QT przy pomiarze 12-kanałowego EKG?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Dot. pkt. 11 ppkt. 2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z zakresem pomiaru pulsu z saturacji – 25÷300/min.? Jest to minimalna różnica w odniesieniu do wymaganego zakresu. Poza tym różnica w dolnej granicy na poziomie 5/min. nie ma znaczenia użytkowego ponieważ puls czy to na poziomie 20/min. czy 25/min. i tak jest podstawą do podjęcia natychmiastowych działań przez personel medyczny.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Dot. pkt. 16 ppkt. 3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posiadający 3 czasy (60, 120 i 180 [s]) do wyboru zawieszania alarmów oraz możliwość zawieszenia na stałe (chronioną hasłem użytkownika)? Proponowany zakres jest optymalnym uwzględniając walory kliniczne monitora.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Dot. pkt. 16 ppkt. 5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z możliwością ustawiania głośności sygnalizacji alarmowej, 5 poziomów do wyboru ze stałymi wzorcami dźwiękowymi sygnalizacji, diametralnie różnymi dla poszczególnych priorytetów alarmowych tzw. niskich, średnich i wysokich? Proponowane rozwiązanie, tak samo jak wymagane przez Zamawiającego spełnia taką samą rolę w monitorowaniu pacjenta.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Dot. pkt. 17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z ręcznym i automatycznym ustawianiem granic alarmowych na podstawie typu pacjenta, na jednym wspólnym ekranie kardiomonitora?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 xml:space="preserve">Proponowane rozwiązanie pod kątem profilu oddziałów nie ma wpływu na kliniczne walory użytkowania i monitorowania i jest bezpieczniejsze ponieważ pozwala zachować pełną kontrolę nad ustawianiem zakresów monitorowania parametrów.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Dot. pkt. 18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wyposażony w monitorowanie zmian częstości akcji serca z ostatnich 240h z prezentacją w postaci wartości liczbowych oraz wykresów liniowych zmian tej częstości akcji serca?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lastRenderedPageBreak/>
        <w:t>Dot. pkt. 19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 wyposażony w pamięć 1200 ostatnich pomiarów jak również w funkcję analizy NIBP z ostatnich 240h z prezentacją w postaci wartości liczbowych oraz wykresów liniowych zmian tegoż ciśnienia?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Dot. pkt.21 ppkt.1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będzie wymagał interfejs i oprogramowanie sieciowe, umożliwiające pracę kardiomonitora w sieci bezprzewodowej z centralą monitorującą? Proponowane rozwiązanie umożliwia łączenie w sieci bez dodatkowych kosztów związanych z instalacją przewodową.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Dot. pkt. 21 ppkt. 6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kardiomonitory przystosowane do pracy w sieci z centralą pielęgniarską z możliwością obsługi ponad 32 kardiomonitorów, przystosowanymi do współpracy z modułami pomiarowymi: V-IBP; V-C.O.; V-ICG; V-CO2; V-RM; V-AG; V-BIS?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Proponowane rozwiązanie pod kątem profilu oddziałów, na które są przeznaczone, nie ma żadnego wpływu na kliniczne walory użytkowania centrali i monitorowania. Natomiast wymóg Zamawiającego ma zastosowanie tylko i wyłącznie w specjalistycznych oddziałach intensywnego i wzmożonego nadzoru pacjenta przy zaoferowaniu kardiomonitorów modułowych, które nie są przedmiotem niniejszego postępowania.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Dot. centrali pielęgniarskiej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Czy Zamawiający dopuści centralę pielęgniarską z możliwością obsługi min.32 kardiomonitorów przystosowaną do współpracy z modułami pomiarowymi: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•</w:t>
      </w:r>
      <w:r w:rsidRPr="001C203E">
        <w:rPr>
          <w:rFonts w:ascii="Tahoma" w:hAnsi="Tahoma" w:cs="Tahoma"/>
          <w:sz w:val="20"/>
          <w:szCs w:val="20"/>
        </w:rPr>
        <w:tab/>
        <w:t xml:space="preserve">V-IBP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•</w:t>
      </w:r>
      <w:r w:rsidRPr="001C203E">
        <w:rPr>
          <w:rFonts w:ascii="Tahoma" w:hAnsi="Tahoma" w:cs="Tahoma"/>
          <w:sz w:val="20"/>
          <w:szCs w:val="20"/>
        </w:rPr>
        <w:tab/>
        <w:t xml:space="preserve">V-C.O.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•</w:t>
      </w:r>
      <w:r w:rsidRPr="001C203E">
        <w:rPr>
          <w:rFonts w:ascii="Tahoma" w:hAnsi="Tahoma" w:cs="Tahoma"/>
          <w:sz w:val="20"/>
          <w:szCs w:val="20"/>
        </w:rPr>
        <w:tab/>
        <w:t xml:space="preserve">V-ICG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•</w:t>
      </w:r>
      <w:r w:rsidRPr="001C203E">
        <w:rPr>
          <w:rFonts w:ascii="Tahoma" w:hAnsi="Tahoma" w:cs="Tahoma"/>
          <w:sz w:val="20"/>
          <w:szCs w:val="20"/>
        </w:rPr>
        <w:tab/>
        <w:t xml:space="preserve">V-CO2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•</w:t>
      </w:r>
      <w:r w:rsidRPr="001C203E">
        <w:rPr>
          <w:rFonts w:ascii="Tahoma" w:hAnsi="Tahoma" w:cs="Tahoma"/>
          <w:sz w:val="20"/>
          <w:szCs w:val="20"/>
        </w:rPr>
        <w:tab/>
        <w:t xml:space="preserve">V-RM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•</w:t>
      </w:r>
      <w:r w:rsidRPr="001C203E">
        <w:rPr>
          <w:rFonts w:ascii="Tahoma" w:hAnsi="Tahoma" w:cs="Tahoma"/>
          <w:sz w:val="20"/>
          <w:szCs w:val="20"/>
        </w:rPr>
        <w:tab/>
        <w:t xml:space="preserve">V-AG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•</w:t>
      </w:r>
      <w:r w:rsidRPr="001C203E">
        <w:rPr>
          <w:rFonts w:ascii="Tahoma" w:hAnsi="Tahoma" w:cs="Tahoma"/>
          <w:sz w:val="20"/>
          <w:szCs w:val="20"/>
        </w:rPr>
        <w:tab/>
        <w:t>V-BIS?</w:t>
      </w:r>
    </w:p>
    <w:p w:rsid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Proponowane rozwiązanie pod kątem profilu oddziałów, na które są przeznaczone, nie ma żadnego wpływu na kliniczne walory użytkowania centrali i monitorowania.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1C203E" w:rsidRPr="001C203E" w:rsidRDefault="001C203E" w:rsidP="001C203E">
      <w:pPr>
        <w:pStyle w:val="Tekstpodstawowy"/>
        <w:rPr>
          <w:rFonts w:ascii="Tahoma" w:hAnsi="Tahoma" w:cs="Tahoma"/>
          <w:b/>
        </w:rPr>
      </w:pPr>
      <w:r w:rsidRPr="001C203E">
        <w:rPr>
          <w:rFonts w:ascii="Tahoma" w:hAnsi="Tahoma" w:cs="Tahoma"/>
          <w:b/>
        </w:rPr>
        <w:t>Zapytanie nr 5:</w:t>
      </w: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1.-Pkt.5 -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do przetargu kardiomonitor z pamięcią trendów z ostatnich 160 godzin w rozdzielczości ustawianej przez personel w zakresie od 1 sekundy do 180 minut, ciągły zapis wybranej krzywej oraz wszystkich parametrów cyfrowych przez okres 48 godzin z możliwością przeniesienia danych cyfrowych na Pendrive oraz odczytu na PC? Ponadto pragniemy zauważyć, iż przegląd tak obszernego pliku danych(1000 godzin) na ekranie kardiomonitora przy pomocy dotyku będzie zadaniem bardzo czasochłonnym a wręcz nie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 xml:space="preserve">możliwym do zrealizowania. Do tego celu służą stanowiska centralnego monitorowania obsługiwane przy pomocy klawiatury i myszki komputerowej.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2.-Pkt.6 -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do przetargu kardiomonitor z pamięcią 200 zdarzeń alarmowych oraz zdarzeń wpisanych przez użytkownika? Jest to niewielka różnica względem wymagań Zamawiającego a przy podłączeniu do stanowiska centralnego monitorowania nie będzie praktycznie użytkowane, ponieważ wszystkie dane alarmowe będą sygnalizowane i zapisywane w centrali.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Odpowiedż: </w:t>
      </w:r>
      <w:r>
        <w:rPr>
          <w:rFonts w:ascii="Tahoma" w:hAnsi="Tahoma" w:cs="Tahoma"/>
          <w:b/>
          <w:sz w:val="20"/>
          <w:szCs w:val="20"/>
        </w:rPr>
        <w:t>Nie</w:t>
      </w:r>
      <w:r w:rsidRPr="001C203E">
        <w:rPr>
          <w:rFonts w:ascii="Tahoma" w:hAnsi="Tahoma" w:cs="Tahoma"/>
          <w:b/>
          <w:sz w:val="20"/>
          <w:szCs w:val="20"/>
        </w:rPr>
        <w:t>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3.-Pkt.9.7 -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do przetargu kardiomonitor z analizą odchylenia odcinka ST z siedmiu odprowadzeni jednocześnie w zakresie od – 2,0 do + 2,0 mV, bez możliwości zmiany jednostki pomiarowej mm?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Odpowiedż: </w:t>
      </w:r>
      <w:r>
        <w:rPr>
          <w:rFonts w:ascii="Tahoma" w:hAnsi="Tahoma" w:cs="Tahoma"/>
          <w:b/>
          <w:sz w:val="20"/>
          <w:szCs w:val="20"/>
        </w:rPr>
        <w:t>Nie</w:t>
      </w:r>
      <w:r w:rsidRPr="001C203E">
        <w:rPr>
          <w:rFonts w:ascii="Tahoma" w:hAnsi="Tahoma" w:cs="Tahoma"/>
          <w:b/>
          <w:sz w:val="20"/>
          <w:szCs w:val="20"/>
        </w:rPr>
        <w:t>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Pr="001C203E" w:rsidRDefault="001C203E" w:rsidP="001C203E">
      <w:pPr>
        <w:pStyle w:val="Tekstpodstawowy"/>
        <w:rPr>
          <w:rFonts w:ascii="Tahoma" w:hAnsi="Tahoma" w:cs="Tahoma"/>
        </w:rPr>
      </w:pPr>
      <w:r w:rsidRPr="001C203E">
        <w:rPr>
          <w:rFonts w:ascii="Tahoma" w:hAnsi="Tahoma" w:cs="Tahoma"/>
          <w:b/>
          <w:bCs/>
          <w:color w:val="000000"/>
          <w:lang w:eastAsia="pl-PL"/>
        </w:rPr>
        <w:t xml:space="preserve">4.-Pkt.9.9 - </w:t>
      </w:r>
      <w:r w:rsidRPr="001C203E">
        <w:rPr>
          <w:rFonts w:ascii="Tahoma" w:hAnsi="Tahoma" w:cs="Tahoma"/>
          <w:color w:val="000000"/>
          <w:lang w:eastAsia="pl-PL"/>
        </w:rPr>
        <w:t>Czy Zamawiający dopuści do przetargu kardiomonitor z monitorowaniem EKG, z klasyfikacją 22 rodzajów zaburzeń rytmu ( w tym migotanie przedsionków). Prezentacją wartości</w:t>
      </w: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HR, ST i PVC z możliwością wydruku wykresu EKG i pomiaru odcinka QT za pomocą metody pośredniej. Pomiar odcinka ST w zakresie od -2,0 do + 2,0 mV?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5.-Pkt.10.3 -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do przetargu kardiomonitor posiadający regulacje kreślenia krzywej respiracji w prędkościach: 6,25mm/s; 12,5 mm/s; 25 mm/s?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Odpowiedż: </w:t>
      </w:r>
      <w:r>
        <w:rPr>
          <w:rFonts w:ascii="Tahoma" w:hAnsi="Tahoma" w:cs="Tahoma"/>
          <w:b/>
          <w:sz w:val="20"/>
          <w:szCs w:val="20"/>
        </w:rPr>
        <w:t>Nie</w:t>
      </w:r>
      <w:r w:rsidRPr="001C203E">
        <w:rPr>
          <w:rFonts w:ascii="Tahoma" w:hAnsi="Tahoma" w:cs="Tahoma"/>
          <w:b/>
          <w:sz w:val="20"/>
          <w:szCs w:val="20"/>
        </w:rPr>
        <w:t>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6.-Pkt.11.2 -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do przetargu kardiomonitor z zakresem pomiarowym pulsu z saturacji 20-254 ud/min.? Jest to wystarczający zakres do prawidłowego monitorowania wszystkich kategorii wiekowych pacjentów. Ponadto oferowany kardiomonitor umożliwia pomiar HR z EKG w zakresie 15-350 ud/min jak również pomiar PR z NIBP w zakresie 40- 240 ud/min.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7.- Pkt. 16.5 -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do przetargu kardiomonitor posiadający możliwość regulacji sygnalizacji alarmowej w zakresie 10 poziomów bez możliwości ustawienia wzorca? Powyższa funkcja nie na istotnego znaczenia klinicznego w monitorowaniu pacjentów.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8- Pkt. 18-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do przetargu kardiomonitor z możliwością analizy HR w postaci trendów tabelarycznych oraz graficznych z ostatnich 160 godzin?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lastRenderedPageBreak/>
        <w:t xml:space="preserve">9- Pkt. 19-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do przetargu kardiomonitor z funkcją analizy NIBP z ostatnich 24 godzin z informacją o wartościach ciśnienia; średniego, średniego za dnia, średniego w nocy, maksymalnego, minimalnego, procentowego przekroczenia górnego oraz dolnego limitu w granicach ustalonych alarmów?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10- Pkt. 21.6-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kardiomonitor przystosowany do pracy w sieci z centralą pielęgniarską gotową do współpracy z systemami monitorowania wyposażonymi w zaawansowane moduły pomiarowe takie jak: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-rzut minutowy C.O, ICG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-BIS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- etCO2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-AG </w:t>
      </w:r>
    </w:p>
    <w:p w:rsidR="001C203E" w:rsidRDefault="001C203E" w:rsidP="001C203E">
      <w:pPr>
        <w:pStyle w:val="Tekstpodstawowy"/>
        <w:rPr>
          <w:rFonts w:ascii="Tahoma" w:hAnsi="Tahoma" w:cs="Tahoma"/>
          <w:color w:val="000000"/>
          <w:lang w:eastAsia="pl-PL"/>
        </w:rPr>
      </w:pPr>
      <w:r w:rsidRPr="001C203E">
        <w:rPr>
          <w:rFonts w:ascii="Tahoma" w:hAnsi="Tahoma" w:cs="Tahoma"/>
          <w:color w:val="000000"/>
          <w:lang w:eastAsia="pl-PL"/>
        </w:rPr>
        <w:t>-IBP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>Odpowiedż: Zamawiający dopuszcza.</w:t>
      </w:r>
    </w:p>
    <w:p w:rsidR="001C203E" w:rsidRPr="001C203E" w:rsidRDefault="001C203E" w:rsidP="001C203E">
      <w:pPr>
        <w:pStyle w:val="Tekstpodstawowy"/>
        <w:rPr>
          <w:rFonts w:ascii="Tahoma" w:hAnsi="Tahoma" w:cs="Tahoma"/>
          <w:color w:val="000000"/>
          <w:lang w:eastAsia="pl-PL"/>
        </w:rPr>
      </w:pP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11-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 związku z wymaganiami w punkcie 21.6 w zakresie pracy w sieci kardiomonitorów z centralą pielęgniarską będzie wymagał aby oferowane kardiomonitory umożliwiały pomiar poniższych parametrów w przyszłości: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-rzut minutowy metodami: termodylucji, IKG, PiCCO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-BIS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-NMT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-EEG </w:t>
      </w: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Pytanie motywujemy tym, iż powstaje rozbieżność pomiarów stanowiska centralnego z oferowanymi kardiomonitorami. Czy Zamawiający dopuści aby oferowane stanowisko centralnego monitorowania umożliwiało rozbudowę o powyższe pomiary w przyszłości ?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Odpowiedż: </w:t>
      </w:r>
      <w:r>
        <w:rPr>
          <w:rFonts w:ascii="Tahoma" w:hAnsi="Tahoma" w:cs="Tahoma"/>
          <w:b/>
          <w:sz w:val="20"/>
          <w:szCs w:val="20"/>
        </w:rPr>
        <w:t>Nie</w:t>
      </w:r>
      <w:r w:rsidRPr="001C203E">
        <w:rPr>
          <w:rFonts w:ascii="Tahoma" w:hAnsi="Tahoma" w:cs="Tahoma"/>
          <w:b/>
          <w:sz w:val="20"/>
          <w:szCs w:val="20"/>
        </w:rPr>
        <w:t>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12- Pkt. 21.6-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może doprecyzować co miał na myśli wymagając pomiar IKG? </w:t>
      </w:r>
    </w:p>
    <w:p w:rsidR="001C203E" w:rsidRPr="001C203E" w:rsidRDefault="001C203E" w:rsidP="001C203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Odpowiedż: </w:t>
      </w:r>
      <w:r w:rsidR="0023470D">
        <w:rPr>
          <w:rFonts w:ascii="Tahoma" w:hAnsi="Tahoma" w:cs="Tahoma"/>
          <w:b/>
          <w:sz w:val="20"/>
          <w:szCs w:val="20"/>
        </w:rPr>
        <w:t>Zamawiający miał n</w:t>
      </w:r>
      <w:r w:rsidR="0023470D" w:rsidRPr="0023470D">
        <w:rPr>
          <w:rFonts w:ascii="Tahoma" w:hAnsi="Tahoma" w:cs="Tahoma"/>
          <w:b/>
          <w:sz w:val="20"/>
          <w:szCs w:val="20"/>
        </w:rPr>
        <w:t>a myśli pomiar ICG</w:t>
      </w:r>
      <w:r w:rsidR="0023470D">
        <w:rPr>
          <w:rFonts w:ascii="Tahoma" w:hAnsi="Tahoma" w:cs="Tahoma"/>
          <w:b/>
          <w:sz w:val="20"/>
          <w:szCs w:val="20"/>
        </w:rPr>
        <w:t>.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13- Centrala monitorująca Pkt. 18- </w:t>
      </w: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dopuści stanowisko centralnego nadzoru gotowe do współpracy z systemami monitorowania wyposażonymi w zaawansowane moduły pomiarowe takie jak: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-rzut minutowy C.O, ICG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-BIS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- etCO2 </w:t>
      </w:r>
    </w:p>
    <w:p w:rsidR="001C203E" w:rsidRPr="001C203E" w:rsidRDefault="001C203E" w:rsidP="001C20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203E">
        <w:rPr>
          <w:rFonts w:ascii="Tahoma" w:hAnsi="Tahoma" w:cs="Tahoma"/>
          <w:color w:val="000000"/>
          <w:sz w:val="20"/>
          <w:szCs w:val="20"/>
          <w:lang w:eastAsia="pl-PL"/>
        </w:rPr>
        <w:t xml:space="preserve">-AG </w:t>
      </w:r>
    </w:p>
    <w:p w:rsidR="001C203E" w:rsidRPr="001C203E" w:rsidRDefault="001C203E" w:rsidP="001C203E">
      <w:pPr>
        <w:pStyle w:val="Tekstpodstawowy"/>
        <w:rPr>
          <w:rFonts w:ascii="Tahoma" w:hAnsi="Tahoma" w:cs="Tahoma"/>
        </w:rPr>
      </w:pPr>
      <w:r w:rsidRPr="001C203E">
        <w:rPr>
          <w:rFonts w:ascii="Tahoma" w:hAnsi="Tahoma" w:cs="Tahoma"/>
          <w:color w:val="000000"/>
          <w:lang w:eastAsia="pl-PL"/>
        </w:rPr>
        <w:t>-IBP</w:t>
      </w:r>
    </w:p>
    <w:p w:rsidR="00ED412B" w:rsidRPr="001C203E" w:rsidRDefault="00C54957" w:rsidP="00D1499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Odpowiedź: </w:t>
      </w:r>
      <w:r w:rsidR="00F81763" w:rsidRPr="001C203E">
        <w:rPr>
          <w:rFonts w:ascii="Tahoma" w:hAnsi="Tahoma" w:cs="Tahoma"/>
          <w:b/>
          <w:sz w:val="20"/>
          <w:szCs w:val="20"/>
        </w:rPr>
        <w:t>Zamawiający d</w:t>
      </w:r>
      <w:r w:rsidR="00D1499E" w:rsidRPr="001C203E">
        <w:rPr>
          <w:rFonts w:ascii="Tahoma" w:hAnsi="Tahoma" w:cs="Tahoma"/>
          <w:b/>
          <w:sz w:val="20"/>
          <w:szCs w:val="20"/>
        </w:rPr>
        <w:t>opuszcza</w:t>
      </w:r>
      <w:r w:rsidR="00BA50B7" w:rsidRPr="001C203E">
        <w:rPr>
          <w:rFonts w:ascii="Tahoma" w:hAnsi="Tahoma" w:cs="Tahoma"/>
          <w:b/>
          <w:sz w:val="20"/>
          <w:szCs w:val="20"/>
        </w:rPr>
        <w:t>.</w:t>
      </w:r>
    </w:p>
    <w:p w:rsidR="00A12B08" w:rsidRPr="001C203E" w:rsidRDefault="00A12B08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A12B08" w:rsidRPr="001C203E" w:rsidRDefault="00A12B08" w:rsidP="001C203E">
      <w:pPr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A12B08" w:rsidRPr="001C203E" w:rsidRDefault="00A12B08" w:rsidP="00C54957">
      <w:pPr>
        <w:pStyle w:val="HTML-wstpniesformatowany"/>
        <w:jc w:val="both"/>
        <w:rPr>
          <w:rFonts w:ascii="Tahoma" w:hAnsi="Tahoma" w:cs="Tahoma"/>
          <w:b/>
          <w:u w:val="single"/>
        </w:rPr>
      </w:pPr>
    </w:p>
    <w:sectPr w:rsidR="00A12B08" w:rsidRPr="001C203E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3E" w:rsidRDefault="001C203E" w:rsidP="00974DE7">
      <w:pPr>
        <w:spacing w:after="0" w:line="240" w:lineRule="auto"/>
      </w:pPr>
      <w:r>
        <w:separator/>
      </w:r>
    </w:p>
  </w:endnote>
  <w:endnote w:type="continuationSeparator" w:id="0">
    <w:p w:rsidR="001C203E" w:rsidRDefault="001C203E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3E" w:rsidRDefault="001C203E" w:rsidP="00974DE7">
      <w:pPr>
        <w:spacing w:after="0" w:line="240" w:lineRule="auto"/>
      </w:pPr>
      <w:r>
        <w:separator/>
      </w:r>
    </w:p>
  </w:footnote>
  <w:footnote w:type="continuationSeparator" w:id="0">
    <w:p w:rsidR="001C203E" w:rsidRDefault="001C203E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1C203E" w:rsidTr="00A82C17">
      <w:trPr>
        <w:trHeight w:val="1701"/>
        <w:jc w:val="center"/>
      </w:trPr>
      <w:tc>
        <w:tcPr>
          <w:tcW w:w="2779" w:type="dxa"/>
        </w:tcPr>
        <w:p w:rsidR="001C203E" w:rsidRPr="00AE7B28" w:rsidRDefault="001C203E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1C203E" w:rsidRDefault="001C203E" w:rsidP="00F87060">
          <w:pPr>
            <w:ind w:right="281"/>
            <w:jc w:val="right"/>
            <w:rPr>
              <w:b/>
            </w:rPr>
          </w:pPr>
        </w:p>
        <w:p w:rsidR="001C203E" w:rsidRDefault="001C203E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1C203E" w:rsidRDefault="001C203E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1C203E" w:rsidRDefault="001C203E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203E" w:rsidRDefault="001C203E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01F9"/>
    <w:multiLevelType w:val="hybridMultilevel"/>
    <w:tmpl w:val="209A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6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601F8"/>
    <w:multiLevelType w:val="hybridMultilevel"/>
    <w:tmpl w:val="0FF4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B0D01"/>
    <w:multiLevelType w:val="hybridMultilevel"/>
    <w:tmpl w:val="3CBC5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31"/>
  </w:num>
  <w:num w:numId="5">
    <w:abstractNumId w:val="38"/>
  </w:num>
  <w:num w:numId="6">
    <w:abstractNumId w:val="28"/>
  </w:num>
  <w:num w:numId="7">
    <w:abstractNumId w:val="35"/>
  </w:num>
  <w:num w:numId="8">
    <w:abstractNumId w:val="4"/>
  </w:num>
  <w:num w:numId="9">
    <w:abstractNumId w:val="34"/>
  </w:num>
  <w:num w:numId="10">
    <w:abstractNumId w:val="18"/>
  </w:num>
  <w:num w:numId="11">
    <w:abstractNumId w:val="30"/>
  </w:num>
  <w:num w:numId="12">
    <w:abstractNumId w:val="40"/>
  </w:num>
  <w:num w:numId="13">
    <w:abstractNumId w:val="32"/>
  </w:num>
  <w:num w:numId="14">
    <w:abstractNumId w:val="13"/>
  </w:num>
  <w:num w:numId="15">
    <w:abstractNumId w:val="12"/>
  </w:num>
  <w:num w:numId="16">
    <w:abstractNumId w:val="1"/>
  </w:num>
  <w:num w:numId="17">
    <w:abstractNumId w:val="20"/>
  </w:num>
  <w:num w:numId="18">
    <w:abstractNumId w:val="3"/>
  </w:num>
  <w:num w:numId="19">
    <w:abstractNumId w:val="9"/>
  </w:num>
  <w:num w:numId="20">
    <w:abstractNumId w:val="39"/>
  </w:num>
  <w:num w:numId="21">
    <w:abstractNumId w:val="25"/>
  </w:num>
  <w:num w:numId="22">
    <w:abstractNumId w:val="16"/>
  </w:num>
  <w:num w:numId="23">
    <w:abstractNumId w:val="37"/>
  </w:num>
  <w:num w:numId="24">
    <w:abstractNumId w:val="14"/>
  </w:num>
  <w:num w:numId="25">
    <w:abstractNumId w:val="21"/>
  </w:num>
  <w:num w:numId="26">
    <w:abstractNumId w:val="2"/>
  </w:num>
  <w:num w:numId="27">
    <w:abstractNumId w:val="0"/>
  </w:num>
  <w:num w:numId="28">
    <w:abstractNumId w:val="36"/>
  </w:num>
  <w:num w:numId="29">
    <w:abstractNumId w:val="27"/>
  </w:num>
  <w:num w:numId="30">
    <w:abstractNumId w:val="15"/>
  </w:num>
  <w:num w:numId="31">
    <w:abstractNumId w:val="7"/>
  </w:num>
  <w:num w:numId="32">
    <w:abstractNumId w:val="11"/>
  </w:num>
  <w:num w:numId="33">
    <w:abstractNumId w:val="6"/>
  </w:num>
  <w:num w:numId="34">
    <w:abstractNumId w:val="17"/>
  </w:num>
  <w:num w:numId="35">
    <w:abstractNumId w:val="29"/>
  </w:num>
  <w:num w:numId="36">
    <w:abstractNumId w:val="19"/>
  </w:num>
  <w:num w:numId="37">
    <w:abstractNumId w:val="33"/>
  </w:num>
  <w:num w:numId="38">
    <w:abstractNumId w:val="8"/>
  </w:num>
  <w:num w:numId="39">
    <w:abstractNumId w:val="22"/>
  </w:num>
  <w:num w:numId="40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967C1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014C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940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2F51"/>
    <w:rsid w:val="001B7023"/>
    <w:rsid w:val="001C0620"/>
    <w:rsid w:val="001C0E6D"/>
    <w:rsid w:val="001C203E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470D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B6CF2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044A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521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01A5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572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6F79EA"/>
    <w:rsid w:val="00701AD5"/>
    <w:rsid w:val="00704BE9"/>
    <w:rsid w:val="00707200"/>
    <w:rsid w:val="0070752D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644E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3B99"/>
    <w:rsid w:val="00844B9E"/>
    <w:rsid w:val="00845366"/>
    <w:rsid w:val="00853138"/>
    <w:rsid w:val="008537F0"/>
    <w:rsid w:val="00866160"/>
    <w:rsid w:val="008676AF"/>
    <w:rsid w:val="00872752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33275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9F0E8C"/>
    <w:rsid w:val="009F671B"/>
    <w:rsid w:val="009F73B2"/>
    <w:rsid w:val="00A02C6F"/>
    <w:rsid w:val="00A039B5"/>
    <w:rsid w:val="00A05320"/>
    <w:rsid w:val="00A07CFB"/>
    <w:rsid w:val="00A12B08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5DA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50B7"/>
    <w:rsid w:val="00BA6D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0A44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DBE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2ACC"/>
    <w:rsid w:val="00C835BD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162"/>
    <w:rsid w:val="00CF4BE5"/>
    <w:rsid w:val="00CF5B1A"/>
    <w:rsid w:val="00D01CB0"/>
    <w:rsid w:val="00D1094E"/>
    <w:rsid w:val="00D10C2E"/>
    <w:rsid w:val="00D11E06"/>
    <w:rsid w:val="00D1482B"/>
    <w:rsid w:val="00D1499E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5494"/>
    <w:rsid w:val="00E4695F"/>
    <w:rsid w:val="00E47205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0FF3"/>
    <w:rsid w:val="00F3468A"/>
    <w:rsid w:val="00F34856"/>
    <w:rsid w:val="00F34BB9"/>
    <w:rsid w:val="00F42F8C"/>
    <w:rsid w:val="00F4503A"/>
    <w:rsid w:val="00F45BBD"/>
    <w:rsid w:val="00F460DC"/>
    <w:rsid w:val="00F46B35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1763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5Bezpogrubienia1">
    <w:name w:val="Tekst treści (5) + Bez pogrubienia1"/>
    <w:rsid w:val="00C34DBE"/>
  </w:style>
  <w:style w:type="character" w:customStyle="1" w:styleId="Stylwiadomocie-mail18">
    <w:name w:val="Styl wiadomości e-mail 18"/>
    <w:semiHidden/>
    <w:rsid w:val="00F8176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F81763"/>
    <w:pPr>
      <w:spacing w:after="120" w:line="240" w:lineRule="auto"/>
      <w:ind w:left="566"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F81763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81763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833C-2A18-464C-97E6-CC180282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21</cp:revision>
  <cp:lastPrinted>2018-11-19T12:05:00Z</cp:lastPrinted>
  <dcterms:created xsi:type="dcterms:W3CDTF">2017-02-16T13:13:00Z</dcterms:created>
  <dcterms:modified xsi:type="dcterms:W3CDTF">2018-11-20T12:44:00Z</dcterms:modified>
</cp:coreProperties>
</file>