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53" w:rsidRDefault="00BF6A53" w:rsidP="000A7848">
      <w:pPr>
        <w:spacing w:after="24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 xml:space="preserve">                                                    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Iława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>, 25.05.2018r.</w:t>
      </w:r>
    </w:p>
    <w:p w:rsidR="00BF6A53" w:rsidRDefault="00BF6A53" w:rsidP="000A7848">
      <w:pPr>
        <w:spacing w:after="24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A7848" w:rsidRPr="00CA2046" w:rsidRDefault="000A7848" w:rsidP="000A7848">
      <w:pPr>
        <w:spacing w:after="24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CA2046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CA2046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CA2046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Pr="00CA204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sprzętu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medycznego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na 7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Iławie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(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Pr="00CA2046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Pr="00CA2046">
        <w:rPr>
          <w:rFonts w:ascii="Tahoma" w:hAnsi="Tahoma" w:cs="Tahoma"/>
          <w:b/>
          <w:color w:val="000000"/>
          <w:sz w:val="20"/>
          <w:szCs w:val="20"/>
        </w:rPr>
        <w:t xml:space="preserve"> 12/2018)</w:t>
      </w:r>
    </w:p>
    <w:p w:rsidR="000A7848" w:rsidRPr="00FC2846" w:rsidRDefault="000A7848" w:rsidP="000A7848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A7848" w:rsidRPr="00FC2846" w:rsidRDefault="000A7848" w:rsidP="000A7848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0A7848" w:rsidRPr="00260EEA" w:rsidRDefault="000A7848" w:rsidP="000A7848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0A7848" w:rsidRPr="00B8436A" w:rsidRDefault="000A7848" w:rsidP="000A7848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0A7848" w:rsidRDefault="000A7848" w:rsidP="008A7C2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0A7848" w:rsidRDefault="000A7848" w:rsidP="008A7C2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A7C20" w:rsidRPr="000A7848" w:rsidRDefault="008A7C20" w:rsidP="008A7C2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A784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</w:t>
      </w:r>
      <w:r w:rsidR="000A7848" w:rsidRPr="000A784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12</w:t>
      </w:r>
    </w:p>
    <w:p w:rsidR="008A7C20" w:rsidRPr="00DF4E0F" w:rsidRDefault="008A7C20" w:rsidP="008A7C20">
      <w:pPr>
        <w:pStyle w:val="Default"/>
      </w:pPr>
    </w:p>
    <w:p w:rsidR="008A7C20" w:rsidRPr="00DF4E0F" w:rsidRDefault="008A7C20" w:rsidP="008A7C20">
      <w:pPr>
        <w:pStyle w:val="Default"/>
        <w:rPr>
          <w:b/>
          <w:bCs/>
          <w:sz w:val="23"/>
          <w:szCs w:val="23"/>
        </w:rPr>
      </w:pPr>
      <w:r w:rsidRPr="00DF4E0F">
        <w:t xml:space="preserve"> </w:t>
      </w:r>
      <w:r w:rsidRPr="00DF4E0F">
        <w:rPr>
          <w:b/>
          <w:bCs/>
          <w:sz w:val="23"/>
          <w:szCs w:val="23"/>
        </w:rPr>
        <w:t>Pytanie nr 1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b/>
          <w:bCs/>
          <w:sz w:val="23"/>
          <w:szCs w:val="23"/>
        </w:rPr>
        <w:t xml:space="preserve">dotyczy zał. 2 do SIWZ, Część nr 6 Tomograf komputerowy, rozdział IX pkt. 2 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sz w:val="23"/>
          <w:szCs w:val="23"/>
        </w:rPr>
        <w:t xml:space="preserve">Czy ze względu na wpływ i poprawę komfortu pacjenta, zmniejszenie stresu pacjenta i możliwe przełożenie na poprawę efektywności funkcjonowania pracowni Zamawiający wyrazi zgodę na zmianę oceny punktowej za zaoferowanie systemu? 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sz w:val="23"/>
          <w:szCs w:val="23"/>
        </w:rPr>
        <w:t xml:space="preserve">Proponowana ocena: 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sz w:val="23"/>
          <w:szCs w:val="23"/>
        </w:rPr>
        <w:t xml:space="preserve">TAK- 50 </w:t>
      </w:r>
      <w:proofErr w:type="spellStart"/>
      <w:r w:rsidRPr="00DF4E0F">
        <w:rPr>
          <w:sz w:val="23"/>
          <w:szCs w:val="23"/>
        </w:rPr>
        <w:t>pkt</w:t>
      </w:r>
      <w:proofErr w:type="spellEnd"/>
      <w:r w:rsidRPr="00DF4E0F">
        <w:rPr>
          <w:sz w:val="23"/>
          <w:szCs w:val="23"/>
        </w:rPr>
        <w:t xml:space="preserve"> 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sz w:val="23"/>
          <w:szCs w:val="23"/>
        </w:rPr>
        <w:t xml:space="preserve">NIE – 0 </w:t>
      </w:r>
      <w:proofErr w:type="spellStart"/>
      <w:r w:rsidRPr="00DF4E0F">
        <w:rPr>
          <w:sz w:val="23"/>
          <w:szCs w:val="23"/>
        </w:rPr>
        <w:t>pkt</w:t>
      </w:r>
      <w:proofErr w:type="spellEnd"/>
      <w:r w:rsidRPr="00DF4E0F">
        <w:rPr>
          <w:sz w:val="23"/>
          <w:szCs w:val="23"/>
        </w:rPr>
        <w:t xml:space="preserve"> </w:t>
      </w:r>
    </w:p>
    <w:p w:rsidR="008A7C20" w:rsidRPr="000A7848" w:rsidRDefault="008A7C20" w:rsidP="008A7C20">
      <w:pPr>
        <w:pStyle w:val="Default"/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</w:pPr>
      <w:r w:rsidRPr="000A7848"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pl-PL"/>
        </w:rPr>
        <w:t>Odpowiedź: Nie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</w:p>
    <w:p w:rsidR="008A7C20" w:rsidRPr="00DF4E0F" w:rsidRDefault="008A7C20" w:rsidP="008A7C20">
      <w:pPr>
        <w:pStyle w:val="Default"/>
        <w:rPr>
          <w:b/>
          <w:bCs/>
          <w:sz w:val="23"/>
          <w:szCs w:val="23"/>
        </w:rPr>
      </w:pPr>
      <w:r w:rsidRPr="00DF4E0F">
        <w:rPr>
          <w:b/>
          <w:bCs/>
          <w:sz w:val="23"/>
          <w:szCs w:val="23"/>
        </w:rPr>
        <w:t>Pytanie nr 2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b/>
          <w:bCs/>
          <w:sz w:val="23"/>
          <w:szCs w:val="23"/>
        </w:rPr>
        <w:t xml:space="preserve">dotyczy: zał. 2 do SIWZ, Część nr 6 Tomograf komputerowy, rozdział VII, punkt 12: 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sz w:val="23"/>
          <w:szCs w:val="23"/>
        </w:rPr>
        <w:t xml:space="preserve">Prosimy o doprecyzowanie czy opisany w tym punkcie wymóg „Całkowita liczba licencji na jednocześnie pracujących użytkowników systemu wynosi min. 5. Każdy z użytkowników ma jednoczesny dostęp do każdej z aplikacji klinicznych”, jest parametrem granicznym bezwzględnie wymaganym bez dodatkowej punktacji. </w:t>
      </w:r>
    </w:p>
    <w:p w:rsidR="008A7C20" w:rsidRPr="00DF4E0F" w:rsidRDefault="008A7C20" w:rsidP="008A7C20">
      <w:pPr>
        <w:pStyle w:val="Default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DF4E0F">
        <w:rPr>
          <w:rFonts w:ascii="Tahoma" w:hAnsi="Tahoma" w:cs="Tahoma"/>
          <w:b/>
          <w:sz w:val="20"/>
          <w:szCs w:val="20"/>
          <w:u w:val="single"/>
          <w:lang w:eastAsia="pl-PL"/>
        </w:rPr>
        <w:t>Odpowiedź:</w:t>
      </w:r>
      <w:r w:rsidR="00DF4E0F" w:rsidRPr="00DF4E0F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Tak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</w:p>
    <w:p w:rsidR="008A7C20" w:rsidRPr="00DF4E0F" w:rsidRDefault="008A7C20" w:rsidP="008A7C20">
      <w:pPr>
        <w:pStyle w:val="Default"/>
        <w:rPr>
          <w:b/>
          <w:bCs/>
          <w:sz w:val="23"/>
          <w:szCs w:val="23"/>
        </w:rPr>
      </w:pPr>
      <w:r w:rsidRPr="00DF4E0F">
        <w:rPr>
          <w:b/>
          <w:bCs/>
          <w:sz w:val="23"/>
          <w:szCs w:val="23"/>
        </w:rPr>
        <w:t>Pytanie nr 3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b/>
          <w:bCs/>
          <w:sz w:val="23"/>
          <w:szCs w:val="23"/>
        </w:rPr>
        <w:t xml:space="preserve">dotyczy: zał. 2 do SIWZ, Część nr 6 Tomograf komputerowy, rozdział VII, punkt 12: </w:t>
      </w:r>
    </w:p>
    <w:p w:rsidR="008A7C20" w:rsidRPr="00DF4E0F" w:rsidRDefault="008A7C20" w:rsidP="008A7C20">
      <w:pPr>
        <w:pStyle w:val="Default"/>
        <w:rPr>
          <w:sz w:val="23"/>
          <w:szCs w:val="23"/>
        </w:rPr>
      </w:pPr>
      <w:r w:rsidRPr="00DF4E0F">
        <w:rPr>
          <w:sz w:val="23"/>
          <w:szCs w:val="23"/>
        </w:rPr>
        <w:t xml:space="preserve">Prosimy o doprecyzowanie czy opisany w tym punkcie wymóg „Całkowita liczba licencji na jednocześnie pracujących użytkowników systemu wynosi min. 5. Każdy z użytkowników ma jednoczesny dostęp do każdej z aplikacji klinicznych jest parametrem granicznym bezwzględnie wymaganym z dodatkową punktacją za zaoferowanie większej ilości jednoczesnych użytkowników. Prosimy o określenie dodatkowej punktacji. </w:t>
      </w:r>
    </w:p>
    <w:p w:rsidR="008A7C20" w:rsidRPr="00DF4E0F" w:rsidRDefault="008A7C20" w:rsidP="008A7C20">
      <w:pPr>
        <w:pStyle w:val="Default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DF4E0F">
        <w:rPr>
          <w:rFonts w:ascii="Tahoma" w:hAnsi="Tahoma" w:cs="Tahoma"/>
          <w:b/>
          <w:sz w:val="20"/>
          <w:szCs w:val="20"/>
          <w:u w:val="single"/>
          <w:lang w:eastAsia="pl-PL"/>
        </w:rPr>
        <w:t>Odpowiedź:</w:t>
      </w:r>
      <w:r w:rsidR="00DF4E0F" w:rsidRPr="00DF4E0F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Tak, bez dodatkowej punktacji</w:t>
      </w:r>
    </w:p>
    <w:p w:rsidR="008A7C20" w:rsidRPr="00DE6D2D" w:rsidRDefault="008A7C20" w:rsidP="008A7C20">
      <w:pPr>
        <w:pStyle w:val="Default"/>
        <w:rPr>
          <w:sz w:val="23"/>
          <w:szCs w:val="23"/>
          <w:highlight w:val="yellow"/>
        </w:rPr>
      </w:pPr>
    </w:p>
    <w:p w:rsidR="008A7C20" w:rsidRPr="000A7848" w:rsidRDefault="008A7C20" w:rsidP="008A7C20">
      <w:pPr>
        <w:pStyle w:val="Default"/>
        <w:rPr>
          <w:sz w:val="23"/>
          <w:szCs w:val="23"/>
        </w:rPr>
      </w:pPr>
      <w:r w:rsidRPr="000A7848">
        <w:rPr>
          <w:b/>
          <w:bCs/>
          <w:sz w:val="23"/>
          <w:szCs w:val="23"/>
        </w:rPr>
        <w:t>Pytanie nr 4</w:t>
      </w:r>
    </w:p>
    <w:p w:rsidR="008A7C20" w:rsidRPr="000A7848" w:rsidRDefault="008A7C20" w:rsidP="008A7C20">
      <w:pPr>
        <w:rPr>
          <w:sz w:val="23"/>
          <w:szCs w:val="23"/>
        </w:rPr>
      </w:pPr>
      <w:proofErr w:type="spellStart"/>
      <w:r w:rsidRPr="000A7848">
        <w:rPr>
          <w:sz w:val="23"/>
          <w:szCs w:val="23"/>
        </w:rPr>
        <w:lastRenderedPageBreak/>
        <w:t>Czy</w:t>
      </w:r>
      <w:proofErr w:type="spellEnd"/>
      <w:r w:rsidRPr="000A7848">
        <w:rPr>
          <w:sz w:val="23"/>
          <w:szCs w:val="23"/>
        </w:rPr>
        <w:t xml:space="preserve"> z </w:t>
      </w:r>
      <w:proofErr w:type="spellStart"/>
      <w:r w:rsidRPr="000A7848">
        <w:rPr>
          <w:sz w:val="23"/>
          <w:szCs w:val="23"/>
        </w:rPr>
        <w:t>uwagi</w:t>
      </w:r>
      <w:proofErr w:type="spellEnd"/>
      <w:r w:rsidRPr="000A7848">
        <w:rPr>
          <w:sz w:val="23"/>
          <w:szCs w:val="23"/>
        </w:rPr>
        <w:t xml:space="preserve"> na </w:t>
      </w:r>
      <w:proofErr w:type="spellStart"/>
      <w:r w:rsidRPr="000A7848">
        <w:rPr>
          <w:sz w:val="23"/>
          <w:szCs w:val="23"/>
        </w:rPr>
        <w:t>to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że</w:t>
      </w:r>
      <w:proofErr w:type="spellEnd"/>
      <w:r w:rsidRPr="000A7848">
        <w:rPr>
          <w:sz w:val="23"/>
          <w:szCs w:val="23"/>
        </w:rPr>
        <w:t xml:space="preserve"> w </w:t>
      </w:r>
      <w:proofErr w:type="spellStart"/>
      <w:r w:rsidRPr="000A7848">
        <w:rPr>
          <w:sz w:val="23"/>
          <w:szCs w:val="23"/>
        </w:rPr>
        <w:t>kartach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katalogowych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ulotkach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folderach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zawarte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są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najważniejsze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parametry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sprzętu</w:t>
      </w:r>
      <w:proofErr w:type="spellEnd"/>
      <w:r w:rsidRPr="000A7848">
        <w:rPr>
          <w:sz w:val="23"/>
          <w:szCs w:val="23"/>
        </w:rPr>
        <w:t xml:space="preserve">, a </w:t>
      </w:r>
      <w:proofErr w:type="spellStart"/>
      <w:r w:rsidRPr="000A7848">
        <w:rPr>
          <w:sz w:val="23"/>
          <w:szCs w:val="23"/>
        </w:rPr>
        <w:t>producent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sprzętu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przygotowuje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jednakowy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dla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wszystkich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krajów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folder</w:t>
      </w:r>
      <w:proofErr w:type="spellEnd"/>
      <w:r w:rsidRPr="000A7848">
        <w:rPr>
          <w:sz w:val="23"/>
          <w:szCs w:val="23"/>
        </w:rPr>
        <w:t xml:space="preserve"> z </w:t>
      </w:r>
      <w:proofErr w:type="spellStart"/>
      <w:r w:rsidRPr="000A7848">
        <w:rPr>
          <w:sz w:val="23"/>
          <w:szCs w:val="23"/>
        </w:rPr>
        <w:t>parametrami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technicznymi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aparatu</w:t>
      </w:r>
      <w:proofErr w:type="spellEnd"/>
      <w:r w:rsidRPr="000A7848">
        <w:rPr>
          <w:sz w:val="23"/>
          <w:szCs w:val="23"/>
        </w:rPr>
        <w:t xml:space="preserve"> (w </w:t>
      </w:r>
      <w:proofErr w:type="spellStart"/>
      <w:r w:rsidRPr="000A7848">
        <w:rPr>
          <w:sz w:val="23"/>
          <w:szCs w:val="23"/>
        </w:rPr>
        <w:t>przypadku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gdy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każdy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Zamawiający</w:t>
      </w:r>
      <w:proofErr w:type="spellEnd"/>
      <w:r w:rsidRPr="000A7848">
        <w:rPr>
          <w:sz w:val="23"/>
          <w:szCs w:val="23"/>
        </w:rPr>
        <w:t xml:space="preserve"> w </w:t>
      </w:r>
      <w:proofErr w:type="spellStart"/>
      <w:r w:rsidRPr="000A7848">
        <w:rPr>
          <w:sz w:val="23"/>
          <w:szCs w:val="23"/>
        </w:rPr>
        <w:t>sposób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indywidualny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opisuje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przedmiot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postępowania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producent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musiałby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każdorazowo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tworzyć</w:t>
      </w:r>
      <w:proofErr w:type="spellEnd"/>
    </w:p>
    <w:p w:rsidR="008A7C20" w:rsidRPr="000A7848" w:rsidRDefault="008A7C20" w:rsidP="008A7C20">
      <w:pPr>
        <w:rPr>
          <w:sz w:val="23"/>
          <w:szCs w:val="23"/>
        </w:rPr>
      </w:pPr>
      <w:proofErr w:type="spellStart"/>
      <w:r w:rsidRPr="000A7848">
        <w:rPr>
          <w:sz w:val="23"/>
          <w:szCs w:val="23"/>
        </w:rPr>
        <w:t>indywidualny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folder</w:t>
      </w:r>
      <w:proofErr w:type="spellEnd"/>
      <w:r w:rsidRPr="000A7848">
        <w:rPr>
          <w:sz w:val="23"/>
          <w:szCs w:val="23"/>
        </w:rPr>
        <w:t xml:space="preserve"> do </w:t>
      </w:r>
      <w:proofErr w:type="spellStart"/>
      <w:r w:rsidRPr="000A7848">
        <w:rPr>
          <w:sz w:val="23"/>
          <w:szCs w:val="23"/>
        </w:rPr>
        <w:t>każdego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postępowania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przetargowego</w:t>
      </w:r>
      <w:proofErr w:type="spellEnd"/>
      <w:r w:rsidRPr="000A7848">
        <w:rPr>
          <w:sz w:val="23"/>
          <w:szCs w:val="23"/>
        </w:rPr>
        <w:t xml:space="preserve">) </w:t>
      </w:r>
      <w:proofErr w:type="spellStart"/>
      <w:r w:rsidRPr="000A7848">
        <w:rPr>
          <w:sz w:val="23"/>
          <w:szCs w:val="23"/>
        </w:rPr>
        <w:t>Zamawiający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dopuści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potwierdzenie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parametrów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których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brakuje</w:t>
      </w:r>
      <w:proofErr w:type="spellEnd"/>
      <w:r w:rsidRPr="000A7848">
        <w:rPr>
          <w:sz w:val="23"/>
          <w:szCs w:val="23"/>
        </w:rPr>
        <w:t xml:space="preserve"> w </w:t>
      </w:r>
      <w:proofErr w:type="spellStart"/>
      <w:r w:rsidRPr="000A7848">
        <w:rPr>
          <w:sz w:val="23"/>
          <w:szCs w:val="23"/>
        </w:rPr>
        <w:t>kartach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katalogowych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ulotkach</w:t>
      </w:r>
      <w:proofErr w:type="spellEnd"/>
      <w:r w:rsidRPr="000A7848">
        <w:rPr>
          <w:sz w:val="23"/>
          <w:szCs w:val="23"/>
        </w:rPr>
        <w:t xml:space="preserve">, </w:t>
      </w:r>
      <w:proofErr w:type="spellStart"/>
      <w:r w:rsidRPr="000A7848">
        <w:rPr>
          <w:sz w:val="23"/>
          <w:szCs w:val="23"/>
        </w:rPr>
        <w:t>oświadczeniem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Wykonawcy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lub</w:t>
      </w:r>
      <w:proofErr w:type="spellEnd"/>
      <w:r w:rsidRPr="000A7848">
        <w:rPr>
          <w:sz w:val="23"/>
          <w:szCs w:val="23"/>
        </w:rPr>
        <w:t xml:space="preserve"> </w:t>
      </w:r>
      <w:proofErr w:type="spellStart"/>
      <w:r w:rsidRPr="000A7848">
        <w:rPr>
          <w:sz w:val="23"/>
          <w:szCs w:val="23"/>
        </w:rPr>
        <w:t>Producenta</w:t>
      </w:r>
      <w:proofErr w:type="spellEnd"/>
    </w:p>
    <w:p w:rsidR="008A7C20" w:rsidRPr="000A7848" w:rsidRDefault="008A7C20" w:rsidP="008A7C20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A784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Odpowiedź:</w:t>
      </w:r>
      <w:r w:rsidR="000A7848" w:rsidRPr="000A784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 Tak</w:t>
      </w:r>
    </w:p>
    <w:p w:rsidR="009342BB" w:rsidRDefault="009342BB"/>
    <w:p w:rsidR="008A7C20" w:rsidRDefault="008A7C20"/>
    <w:p w:rsidR="008A7C20" w:rsidRPr="000A7848" w:rsidRDefault="008A7C20" w:rsidP="008A7C2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0A7848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0A78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0A7848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0A7848">
        <w:rPr>
          <w:rFonts w:ascii="Tahoma" w:hAnsi="Tahoma" w:cs="Tahoma"/>
          <w:b/>
          <w:sz w:val="20"/>
          <w:szCs w:val="20"/>
          <w:u w:val="single"/>
        </w:rPr>
        <w:t xml:space="preserve"> 1</w:t>
      </w:r>
      <w:r w:rsidR="000A7848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8A7C20" w:rsidRPr="000A7848" w:rsidRDefault="008A7C20" w:rsidP="008A7C20">
      <w:pPr>
        <w:jc w:val="both"/>
        <w:rPr>
          <w:rFonts w:ascii="Tahoma" w:hAnsi="Tahoma" w:cs="Tahoma"/>
          <w:sz w:val="20"/>
          <w:szCs w:val="20"/>
        </w:rPr>
      </w:pP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784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7848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7848">
        <w:rPr>
          <w:rFonts w:ascii="Tahoma" w:hAnsi="Tahoma" w:cs="Tahoma"/>
          <w:b/>
          <w:sz w:val="20"/>
          <w:szCs w:val="20"/>
        </w:rPr>
        <w:t xml:space="preserve"> 1</w:t>
      </w:r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Dotyczy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: IX. WYPOSAŻENIE DODATKOWE,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pkt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. 1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Czy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Zamawiający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wymaga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aby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kontrastu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pracował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materiałach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zużywalnych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(w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tym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wkładach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)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pozbawionych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8A7C20" w:rsidRPr="000A7848" w:rsidRDefault="008A7C20" w:rsidP="008A7C20">
      <w:pPr>
        <w:numPr>
          <w:ilvl w:val="0"/>
          <w:numId w:val="1"/>
        </w:numPr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ftalanów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dwu-2-etyloheksylowego (DEHP),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ftalanów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dioktylu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(DOP) </w:t>
      </w:r>
    </w:p>
    <w:p w:rsidR="008A7C20" w:rsidRPr="000A7848" w:rsidRDefault="008A7C20" w:rsidP="008A7C20">
      <w:pPr>
        <w:numPr>
          <w:ilvl w:val="0"/>
          <w:numId w:val="1"/>
        </w:numPr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lateksu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A7C20" w:rsidRPr="000A7848" w:rsidRDefault="008A7C20" w:rsidP="008A7C20">
      <w:pPr>
        <w:numPr>
          <w:ilvl w:val="0"/>
          <w:numId w:val="1"/>
        </w:numPr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pirogenów</w:t>
      </w:r>
      <w:proofErr w:type="spellEnd"/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bCs/>
          <w:sz w:val="20"/>
          <w:szCs w:val="20"/>
          <w:lang w:eastAsia="en-US"/>
        </w:rPr>
        <w:t>Uzasadnienie</w:t>
      </w:r>
      <w:proofErr w:type="spellEnd"/>
      <w:r w:rsidRPr="000A7848">
        <w:rPr>
          <w:rFonts w:ascii="Tahoma" w:eastAsia="Calibri" w:hAnsi="Tahoma" w:cs="Tahoma"/>
          <w:b/>
          <w:bCs/>
          <w:sz w:val="20"/>
          <w:szCs w:val="20"/>
          <w:lang w:eastAsia="en-US"/>
        </w:rPr>
        <w:t>:</w:t>
      </w:r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A7848">
        <w:rPr>
          <w:rFonts w:ascii="Tahoma" w:eastAsia="Calibri" w:hAnsi="Tahoma" w:cs="Tahoma"/>
          <w:sz w:val="20"/>
          <w:szCs w:val="20"/>
          <w:lang w:eastAsia="en-US"/>
        </w:rPr>
        <w:br/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Brak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poniższych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substancji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duże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znaczenie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dla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pacjentów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1. 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ftalany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dwu-2-etyloheksylowego (DEHP),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ftalany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dioktylu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(DOP) –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Brak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tych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substancji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jest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szczególnie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ważny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dla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kobiet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ciąży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i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dzieci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2. 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lateks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jego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obecność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jest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niebezpieczna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dla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pacjentów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alergią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lateks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3. 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pirogeny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–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substancje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oddziaływają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ośrodek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termoregulacyjny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i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przestawiają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biologiczny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wzorzec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temperatury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ciała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?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:</w:t>
      </w:r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Zamawiający</w:t>
      </w:r>
      <w:proofErr w:type="spellEnd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dopuszcza</w:t>
      </w:r>
      <w:proofErr w:type="spellEnd"/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Pytanie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nr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2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Dotyczy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: IX. WYPOSAŻENIE DODATKOWE,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pkt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. 1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Czy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Zamawiający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będzie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wymagał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aby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kontrastu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posiadał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zasilanie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bateryjne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(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bezprzewodowe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) z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możliwością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kablu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?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Uzasadnienie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bateryjna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(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bezprzewodowa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)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powoduje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że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nie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jest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podłączony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do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zasilania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poprzez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kabel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dużej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mierze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przekłada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się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komfort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i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bezawaryjność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urządzenia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( nie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istnieje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niebezpieczeństwo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zahaczenia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nogą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o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kabel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).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Brak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kabla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zasilającego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też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duże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znaczenie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przypadku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pacjentów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którzy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wjeżdżają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zabieg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łóżkach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szpitalnych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Proponowane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rozwiązanie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umożliwia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zarówno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zasilaniu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bateryjnym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jak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i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zasilaniu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sieciowym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poprzez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kabel.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:</w:t>
      </w:r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Zamawiający</w:t>
      </w:r>
      <w:proofErr w:type="spellEnd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dopuszcza</w:t>
      </w:r>
      <w:proofErr w:type="spellEnd"/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Pytanie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nr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3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Dotyczy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: IX. WYPOSAŻENIE DODATKOWE,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pkt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. 1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Czy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Zamawiający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będzie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oczekiwał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aby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kontrastu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pracował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pełni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bezprzewodowo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(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zasilanie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akumulatorowe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oraz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bezprzewodowa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łączność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strzykawki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ekranem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zdalnym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sterowni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)?</w:t>
      </w:r>
      <w:r w:rsidRPr="000A7848">
        <w:rPr>
          <w:rFonts w:ascii="Tahoma" w:eastAsia="Calibri" w:hAnsi="Tahoma" w:cs="Tahoma"/>
          <w:sz w:val="20"/>
          <w:szCs w:val="20"/>
          <w:lang w:eastAsia="en-US"/>
        </w:rPr>
        <w:br/>
      </w:r>
      <w:proofErr w:type="spellStart"/>
      <w:r w:rsidRPr="000A7848">
        <w:rPr>
          <w:rFonts w:ascii="Tahoma" w:eastAsia="Calibri" w:hAnsi="Tahoma" w:cs="Tahoma"/>
          <w:b/>
          <w:bCs/>
          <w:sz w:val="20"/>
          <w:szCs w:val="20"/>
          <w:lang w:eastAsia="en-US"/>
        </w:rPr>
        <w:t>Uzasadnienie</w:t>
      </w:r>
      <w:proofErr w:type="spellEnd"/>
      <w:r w:rsidRPr="000A7848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: </w:t>
      </w:r>
      <w:r w:rsidRPr="000A7848">
        <w:rPr>
          <w:rFonts w:ascii="Tahoma" w:eastAsia="Calibri" w:hAnsi="Tahoma" w:cs="Tahoma"/>
          <w:b/>
          <w:bCs/>
          <w:sz w:val="20"/>
          <w:szCs w:val="20"/>
          <w:lang w:eastAsia="en-US"/>
        </w:rPr>
        <w:br/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którego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nie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jest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pełni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bezprzewodowa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wpłynie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Zamawiającego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gdyż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:</w:t>
      </w:r>
      <w:r w:rsidRPr="000A7848">
        <w:rPr>
          <w:rFonts w:ascii="Tahoma" w:eastAsia="Calibri" w:hAnsi="Tahoma" w:cs="Tahoma"/>
          <w:sz w:val="20"/>
          <w:szCs w:val="20"/>
          <w:lang w:eastAsia="en-US"/>
        </w:rPr>
        <w:br/>
        <w:t xml:space="preserve">- nie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będzie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mógł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przemieszczać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w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dowolne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miejsce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A7848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-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będzie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musiał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przykładać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dodatkową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uwagę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do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żeby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nie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spowodować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awarii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poprzez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zahaczenie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nogami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o kabel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wstrzykiwacza</w:t>
      </w:r>
      <w:proofErr w:type="spellEnd"/>
    </w:p>
    <w:p w:rsidR="008A7C20" w:rsidRPr="000A7848" w:rsidRDefault="008A7C20" w:rsidP="008A7C20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-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będzie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mieć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utrudnioną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pracę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pacjentami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wjeżdżającymi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salę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na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wózkach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szpitalnych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:</w:t>
      </w:r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Zamawiający</w:t>
      </w:r>
      <w:proofErr w:type="spellEnd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dopuszcza</w:t>
      </w:r>
      <w:proofErr w:type="spellEnd"/>
    </w:p>
    <w:p w:rsidR="000A7848" w:rsidRPr="000A7848" w:rsidRDefault="000A7848" w:rsidP="008A7C20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0A7848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Pytanie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nr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 4 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Dotyczy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 xml:space="preserve">: IX. WYPOSAŻENIE DODATKOWE, </w:t>
      </w:r>
      <w:proofErr w:type="spellStart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pkt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lang w:eastAsia="en-US"/>
        </w:rPr>
        <w:t>. 1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Czy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Zamawiający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będzie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wymagał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dwugłowicowego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wstrzykiwacza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kontrastu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który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umożliwia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iniekcję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nie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tylko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środka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cieniującego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ale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również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roztworu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soli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proofErr w:type="spellStart"/>
      <w:r w:rsidRPr="000A7848">
        <w:rPr>
          <w:rFonts w:ascii="Tahoma" w:eastAsia="Calibri" w:hAnsi="Tahoma" w:cs="Tahoma"/>
          <w:sz w:val="20"/>
          <w:szCs w:val="20"/>
          <w:lang w:eastAsia="en-US"/>
        </w:rPr>
        <w:t>fizjologicznej</w:t>
      </w:r>
      <w:proofErr w:type="spellEnd"/>
      <w:r w:rsidRPr="000A7848">
        <w:rPr>
          <w:rFonts w:ascii="Tahoma" w:eastAsia="Calibri" w:hAnsi="Tahoma" w:cs="Tahoma"/>
          <w:sz w:val="20"/>
          <w:szCs w:val="20"/>
          <w:lang w:eastAsia="en-US"/>
        </w:rPr>
        <w:t xml:space="preserve"> ?</w:t>
      </w:r>
    </w:p>
    <w:p w:rsidR="008A7C20" w:rsidRPr="000A7848" w:rsidRDefault="008A7C20" w:rsidP="008A7C20">
      <w:pPr>
        <w:jc w:val="both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proofErr w:type="spellStart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Odpowiedź</w:t>
      </w:r>
      <w:proofErr w:type="spellEnd"/>
      <w:r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:</w:t>
      </w:r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Zamawiający</w:t>
      </w:r>
      <w:proofErr w:type="spellEnd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0A7848" w:rsidRPr="000A7848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dopuszcza</w:t>
      </w:r>
      <w:proofErr w:type="spellEnd"/>
    </w:p>
    <w:p w:rsidR="008A7C20" w:rsidRDefault="008A7C20"/>
    <w:p w:rsidR="00CD069D" w:rsidRDefault="00CD069D"/>
    <w:p w:rsidR="00CD069D" w:rsidRDefault="00CD069D" w:rsidP="00CD069D">
      <w:pPr>
        <w:pStyle w:val="Nagwek"/>
        <w:tabs>
          <w:tab w:val="left" w:pos="708"/>
        </w:tabs>
        <w:jc w:val="both"/>
      </w:pPr>
    </w:p>
    <w:sectPr w:rsidR="00CD069D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53" w:rsidRDefault="00BF6A53" w:rsidP="00BF6A53">
      <w:r>
        <w:separator/>
      </w:r>
    </w:p>
  </w:endnote>
  <w:endnote w:type="continuationSeparator" w:id="0">
    <w:p w:rsidR="00BF6A53" w:rsidRDefault="00BF6A53" w:rsidP="00BF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53" w:rsidRDefault="00BF6A53">
    <w:pPr>
      <w:pStyle w:val="Stopka"/>
    </w:pPr>
    <w:r w:rsidRPr="00BF6A53">
      <w:drawing>
        <wp:inline distT="0" distB="0" distL="0" distR="0">
          <wp:extent cx="5760720" cy="535479"/>
          <wp:effectExtent l="19050" t="0" r="0" b="0"/>
          <wp:docPr id="6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53" w:rsidRDefault="00BF6A53" w:rsidP="00BF6A53">
      <w:r>
        <w:separator/>
      </w:r>
    </w:p>
  </w:footnote>
  <w:footnote w:type="continuationSeparator" w:id="0">
    <w:p w:rsidR="00BF6A53" w:rsidRDefault="00BF6A53" w:rsidP="00BF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BF6A53" w:rsidTr="00257BEE">
      <w:trPr>
        <w:trHeight w:val="2264"/>
        <w:jc w:val="center"/>
      </w:trPr>
      <w:tc>
        <w:tcPr>
          <w:tcW w:w="2779" w:type="dxa"/>
        </w:tcPr>
        <w:p w:rsidR="00BF6A53" w:rsidRPr="00AE7B28" w:rsidRDefault="00BF6A53" w:rsidP="00257BE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BF6A53" w:rsidRDefault="00BF6A53" w:rsidP="00257BEE">
          <w:pPr>
            <w:ind w:right="281"/>
            <w:jc w:val="right"/>
            <w:rPr>
              <w:b/>
            </w:rPr>
          </w:pPr>
        </w:p>
        <w:p w:rsidR="00BF6A53" w:rsidRDefault="00BF6A53" w:rsidP="00257BE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BF6A53" w:rsidRDefault="00BF6A53" w:rsidP="00257BE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BF6A53" w:rsidRDefault="00BF6A53" w:rsidP="00257BE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6A53" w:rsidRDefault="00BF6A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F61"/>
    <w:multiLevelType w:val="hybridMultilevel"/>
    <w:tmpl w:val="52A4B1AC"/>
    <w:lvl w:ilvl="0" w:tplc="80A49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C20"/>
    <w:rsid w:val="0005264E"/>
    <w:rsid w:val="00074A63"/>
    <w:rsid w:val="000832B6"/>
    <w:rsid w:val="000A7848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7407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A7C20"/>
    <w:rsid w:val="008C7913"/>
    <w:rsid w:val="008E4DBD"/>
    <w:rsid w:val="0093161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BF6A53"/>
    <w:rsid w:val="00C10C0C"/>
    <w:rsid w:val="00C52111"/>
    <w:rsid w:val="00CA25E4"/>
    <w:rsid w:val="00CD069D"/>
    <w:rsid w:val="00CD29CF"/>
    <w:rsid w:val="00D3798A"/>
    <w:rsid w:val="00D75EC2"/>
    <w:rsid w:val="00D91386"/>
    <w:rsid w:val="00DD7F52"/>
    <w:rsid w:val="00DF4E0F"/>
    <w:rsid w:val="00E52735"/>
    <w:rsid w:val="00EC6E67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069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69D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BF6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6A5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A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A53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2018-05-25T06:00:00Z</dcterms:created>
  <dcterms:modified xsi:type="dcterms:W3CDTF">2018-05-25T09:39:00Z</dcterms:modified>
</cp:coreProperties>
</file>